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6BAC7" w14:textId="039675DC" w:rsidR="00CF59AD" w:rsidRDefault="00296B74" w:rsidP="00296B74">
      <w:pPr>
        <w:jc w:val="center"/>
        <w:rPr>
          <w:sz w:val="32"/>
        </w:rPr>
      </w:pPr>
      <w:r w:rsidRPr="003A1B08">
        <w:rPr>
          <w:sz w:val="32"/>
        </w:rPr>
        <w:t>Transitional Math Syllabus</w:t>
      </w:r>
    </w:p>
    <w:p w14:paraId="3E341AF1" w14:textId="74342486" w:rsidR="0029158D" w:rsidRPr="0029158D" w:rsidRDefault="0056557E" w:rsidP="00296B74">
      <w:pPr>
        <w:jc w:val="center"/>
        <w:rPr>
          <w:sz w:val="28"/>
        </w:rPr>
      </w:pPr>
      <w:r>
        <w:rPr>
          <w:sz w:val="28"/>
        </w:rPr>
        <w:t>Quantitative Literacy/Statistics</w:t>
      </w:r>
      <w:r w:rsidR="0029158D" w:rsidRPr="0029158D">
        <w:rPr>
          <w:sz w:val="28"/>
        </w:rPr>
        <w:t xml:space="preserve"> Pathway</w:t>
      </w:r>
    </w:p>
    <w:p w14:paraId="368B8F39" w14:textId="04F5C351" w:rsidR="00300F7B" w:rsidRDefault="00300F7B" w:rsidP="00296B74">
      <w:pPr>
        <w:rPr>
          <w:u w:val="single"/>
        </w:rPr>
      </w:pPr>
      <w:r>
        <w:rPr>
          <w:u w:val="single"/>
        </w:rPr>
        <w:t>Course Information</w:t>
      </w:r>
    </w:p>
    <w:tbl>
      <w:tblPr>
        <w:tblStyle w:val="TableGrid"/>
        <w:tblW w:w="8910" w:type="dxa"/>
        <w:tblInd w:w="265" w:type="dxa"/>
        <w:tblLook w:val="04A0" w:firstRow="1" w:lastRow="0" w:firstColumn="1" w:lastColumn="0" w:noHBand="0" w:noVBand="1"/>
      </w:tblPr>
      <w:tblGrid>
        <w:gridCol w:w="2610"/>
        <w:gridCol w:w="6300"/>
      </w:tblGrid>
      <w:tr w:rsidR="00300F7B" w:rsidRPr="00300F7B" w14:paraId="4AA0DC4C" w14:textId="77777777" w:rsidTr="001F2EB5">
        <w:trPr>
          <w:trHeight w:val="432"/>
        </w:trPr>
        <w:tc>
          <w:tcPr>
            <w:tcW w:w="2610" w:type="dxa"/>
            <w:vAlign w:val="center"/>
          </w:tcPr>
          <w:p w14:paraId="7D0A9815" w14:textId="77777777" w:rsidR="00300F7B" w:rsidRPr="00300F7B" w:rsidRDefault="00300F7B" w:rsidP="00300F7B">
            <w:r w:rsidRPr="00300F7B">
              <w:t>Course Name</w:t>
            </w:r>
          </w:p>
        </w:tc>
        <w:tc>
          <w:tcPr>
            <w:tcW w:w="6300" w:type="dxa"/>
            <w:vAlign w:val="center"/>
          </w:tcPr>
          <w:p w14:paraId="3DA6FF67" w14:textId="40F41A7B" w:rsidR="00300F7B" w:rsidRPr="00300F7B" w:rsidRDefault="00BE4CCD" w:rsidP="00300F7B">
            <w:r>
              <w:t>Mathematical</w:t>
            </w:r>
            <w:r w:rsidR="00D1616E">
              <w:t xml:space="preserve"> Literacy 099</w:t>
            </w:r>
          </w:p>
        </w:tc>
      </w:tr>
      <w:tr w:rsidR="00300F7B" w:rsidRPr="00300F7B" w14:paraId="22308CFD" w14:textId="77777777" w:rsidTr="001F2EB5">
        <w:trPr>
          <w:trHeight w:val="432"/>
        </w:trPr>
        <w:tc>
          <w:tcPr>
            <w:tcW w:w="2610" w:type="dxa"/>
            <w:vAlign w:val="center"/>
          </w:tcPr>
          <w:p w14:paraId="18302D33" w14:textId="77777777" w:rsidR="00300F7B" w:rsidRPr="00300F7B" w:rsidRDefault="00300F7B" w:rsidP="00300F7B">
            <w:r w:rsidRPr="00300F7B">
              <w:t>Course Pathway</w:t>
            </w:r>
          </w:p>
        </w:tc>
        <w:tc>
          <w:tcPr>
            <w:tcW w:w="6300" w:type="dxa"/>
            <w:vAlign w:val="center"/>
          </w:tcPr>
          <w:p w14:paraId="17CCADB4" w14:textId="0B4B2B18" w:rsidR="00300F7B" w:rsidRPr="00300F7B" w:rsidRDefault="00300F7B" w:rsidP="00300F7B">
            <w:r w:rsidRPr="00300F7B">
              <w:t xml:space="preserve">High School Transitional Math 4 – </w:t>
            </w:r>
            <w:r w:rsidR="0056557E">
              <w:t xml:space="preserve">Quantitative Literacy and Statistics  </w:t>
            </w:r>
          </w:p>
        </w:tc>
      </w:tr>
      <w:tr w:rsidR="00300F7B" w:rsidRPr="00300F7B" w14:paraId="003DD700" w14:textId="77777777" w:rsidTr="001F2EB5">
        <w:trPr>
          <w:trHeight w:val="432"/>
        </w:trPr>
        <w:tc>
          <w:tcPr>
            <w:tcW w:w="2610" w:type="dxa"/>
            <w:vAlign w:val="center"/>
          </w:tcPr>
          <w:p w14:paraId="3B9D7B09" w14:textId="77777777" w:rsidR="00300F7B" w:rsidRPr="00300F7B" w:rsidRDefault="00300F7B" w:rsidP="00300F7B">
            <w:r w:rsidRPr="00300F7B">
              <w:t>ISBE SIS Code</w:t>
            </w:r>
          </w:p>
        </w:tc>
        <w:tc>
          <w:tcPr>
            <w:tcW w:w="6300" w:type="dxa"/>
            <w:vAlign w:val="center"/>
          </w:tcPr>
          <w:p w14:paraId="2385D9CB" w14:textId="444F9D67" w:rsidR="00300F7B" w:rsidRPr="00300F7B" w:rsidRDefault="0056557E" w:rsidP="00300F7B">
            <w:r w:rsidRPr="0056557E">
              <w:t>02201A001</w:t>
            </w:r>
          </w:p>
        </w:tc>
      </w:tr>
      <w:tr w:rsidR="00300F7B" w:rsidRPr="00300F7B" w14:paraId="58517301" w14:textId="77777777" w:rsidTr="001F2EB5">
        <w:trPr>
          <w:trHeight w:val="432"/>
        </w:trPr>
        <w:tc>
          <w:tcPr>
            <w:tcW w:w="2610" w:type="dxa"/>
            <w:vAlign w:val="center"/>
          </w:tcPr>
          <w:p w14:paraId="5F6DBFA3" w14:textId="77777777" w:rsidR="00300F7B" w:rsidRPr="00300F7B" w:rsidRDefault="00300F7B" w:rsidP="00300F7B">
            <w:r w:rsidRPr="00300F7B">
              <w:t xml:space="preserve">Portability Code    </w:t>
            </w:r>
          </w:p>
        </w:tc>
        <w:tc>
          <w:tcPr>
            <w:tcW w:w="6300" w:type="dxa"/>
            <w:vAlign w:val="center"/>
          </w:tcPr>
          <w:p w14:paraId="105DC99A" w14:textId="356D4AD4" w:rsidR="00300F7B" w:rsidRPr="00300F7B" w:rsidRDefault="00300F7B" w:rsidP="00300F7B">
            <w:r w:rsidRPr="00300F7B">
              <w:t>TM00</w:t>
            </w:r>
            <w:r w:rsidR="0056557E">
              <w:t>2</w:t>
            </w:r>
          </w:p>
        </w:tc>
      </w:tr>
      <w:tr w:rsidR="00300F7B" w:rsidRPr="00300F7B" w14:paraId="4D230FD8" w14:textId="77777777" w:rsidTr="001F2EB5">
        <w:trPr>
          <w:trHeight w:val="432"/>
        </w:trPr>
        <w:tc>
          <w:tcPr>
            <w:tcW w:w="2610" w:type="dxa"/>
            <w:vAlign w:val="center"/>
          </w:tcPr>
          <w:p w14:paraId="076B10A4" w14:textId="7CAE1298" w:rsidR="00300F7B" w:rsidRPr="00300F7B" w:rsidRDefault="00300F7B" w:rsidP="00300F7B">
            <w:r>
              <w:t>Course Duration</w:t>
            </w:r>
          </w:p>
        </w:tc>
        <w:tc>
          <w:tcPr>
            <w:tcW w:w="6300" w:type="dxa"/>
            <w:vAlign w:val="center"/>
          </w:tcPr>
          <w:p w14:paraId="316A1136" w14:textId="66F99B76" w:rsidR="00300F7B" w:rsidRPr="009A3CA4" w:rsidRDefault="009A3CA4" w:rsidP="00300F7B">
            <w:pPr>
              <w:rPr>
                <w:color w:val="000000" w:themeColor="text1"/>
              </w:rPr>
            </w:pPr>
            <w:r>
              <w:rPr>
                <w:color w:val="000000" w:themeColor="text1"/>
              </w:rPr>
              <w:t>1 Semester</w:t>
            </w:r>
            <w:r w:rsidR="001D6DF6">
              <w:rPr>
                <w:color w:val="000000" w:themeColor="text1"/>
              </w:rPr>
              <w:t xml:space="preserve"> (18 Weeks- 5 Days/week)</w:t>
            </w:r>
          </w:p>
        </w:tc>
      </w:tr>
    </w:tbl>
    <w:p w14:paraId="4A63F949" w14:textId="785F4CD8" w:rsidR="00296B74" w:rsidRDefault="00296B74"/>
    <w:p w14:paraId="784A13F6" w14:textId="296F3E28" w:rsidR="00296B74" w:rsidRPr="00296B74" w:rsidRDefault="003A1B08">
      <w:pPr>
        <w:rPr>
          <w:u w:val="single"/>
        </w:rPr>
      </w:pPr>
      <w:r>
        <w:rPr>
          <w:u w:val="single"/>
        </w:rPr>
        <w:t>Contact</w:t>
      </w:r>
      <w:r w:rsidR="00296B74" w:rsidRPr="00296B74">
        <w:rPr>
          <w:u w:val="single"/>
        </w:rPr>
        <w:t xml:space="preserve"> </w:t>
      </w:r>
      <w:r w:rsidR="00300F7B">
        <w:rPr>
          <w:u w:val="single"/>
        </w:rPr>
        <w:t>I</w:t>
      </w:r>
      <w:r w:rsidR="00296B74" w:rsidRPr="00296B74">
        <w:rPr>
          <w:u w:val="single"/>
        </w:rPr>
        <w:t>nformation</w:t>
      </w:r>
    </w:p>
    <w:tbl>
      <w:tblPr>
        <w:tblStyle w:val="TableGrid"/>
        <w:tblW w:w="8910" w:type="dxa"/>
        <w:tblInd w:w="265" w:type="dxa"/>
        <w:tblLook w:val="04A0" w:firstRow="1" w:lastRow="0" w:firstColumn="1" w:lastColumn="0" w:noHBand="0" w:noVBand="1"/>
      </w:tblPr>
      <w:tblGrid>
        <w:gridCol w:w="2610"/>
        <w:gridCol w:w="6300"/>
      </w:tblGrid>
      <w:tr w:rsidR="00296B74" w:rsidRPr="00296B74" w14:paraId="6A04CA5B" w14:textId="0E1B30A7" w:rsidTr="001F2EB5">
        <w:trPr>
          <w:trHeight w:val="432"/>
        </w:trPr>
        <w:tc>
          <w:tcPr>
            <w:tcW w:w="2610" w:type="dxa"/>
            <w:vAlign w:val="center"/>
          </w:tcPr>
          <w:p w14:paraId="2EA77A1F" w14:textId="40DCA845" w:rsidR="00296B74" w:rsidRPr="00296B74" w:rsidRDefault="003A1B08" w:rsidP="00296B74">
            <w:r>
              <w:t xml:space="preserve">Teacher </w:t>
            </w:r>
            <w:r w:rsidR="00296B74" w:rsidRPr="00296B74">
              <w:t>Name</w:t>
            </w:r>
          </w:p>
        </w:tc>
        <w:tc>
          <w:tcPr>
            <w:tcW w:w="6300" w:type="dxa"/>
            <w:vAlign w:val="center"/>
          </w:tcPr>
          <w:p w14:paraId="44262CB1" w14:textId="36C4F1F8" w:rsidR="00296B74" w:rsidRPr="00296B74" w:rsidRDefault="009A3CA4" w:rsidP="00296B74">
            <w:r>
              <w:t>Tom Smith</w:t>
            </w:r>
          </w:p>
        </w:tc>
      </w:tr>
      <w:tr w:rsidR="00296B74" w:rsidRPr="00296B74" w14:paraId="61A1B220" w14:textId="078D5AB8" w:rsidTr="001F2EB5">
        <w:trPr>
          <w:trHeight w:val="432"/>
        </w:trPr>
        <w:tc>
          <w:tcPr>
            <w:tcW w:w="2610" w:type="dxa"/>
            <w:vAlign w:val="center"/>
          </w:tcPr>
          <w:p w14:paraId="54D3EFC1" w14:textId="5BF1406E" w:rsidR="00296B74" w:rsidRPr="00296B74" w:rsidRDefault="003A1B08" w:rsidP="00296B74">
            <w:r>
              <w:t xml:space="preserve">Teacher </w:t>
            </w:r>
            <w:r w:rsidR="00296B74" w:rsidRPr="00296B74">
              <w:t>Email</w:t>
            </w:r>
          </w:p>
        </w:tc>
        <w:tc>
          <w:tcPr>
            <w:tcW w:w="6300" w:type="dxa"/>
            <w:vAlign w:val="center"/>
          </w:tcPr>
          <w:p w14:paraId="54DE0535" w14:textId="6128ADDA" w:rsidR="00296B74" w:rsidRPr="00296B74" w:rsidRDefault="009A3CA4" w:rsidP="00296B74">
            <w:r>
              <w:t>tsmith@wacohi.net</w:t>
            </w:r>
          </w:p>
        </w:tc>
      </w:tr>
      <w:tr w:rsidR="00296B74" w:rsidRPr="00296B74" w14:paraId="6A18C3B6" w14:textId="647A9D37" w:rsidTr="001F2EB5">
        <w:trPr>
          <w:trHeight w:val="432"/>
        </w:trPr>
        <w:tc>
          <w:tcPr>
            <w:tcW w:w="2610" w:type="dxa"/>
            <w:vAlign w:val="center"/>
          </w:tcPr>
          <w:p w14:paraId="133B6EDD" w14:textId="193A31A3" w:rsidR="00296B74" w:rsidRPr="00296B74" w:rsidRDefault="00A70D28" w:rsidP="00296B74">
            <w:r>
              <w:t>School</w:t>
            </w:r>
            <w:r w:rsidR="003A1B08">
              <w:t xml:space="preserve"> </w:t>
            </w:r>
            <w:r w:rsidR="00296B74" w:rsidRPr="00296B74">
              <w:t xml:space="preserve">Phone </w:t>
            </w:r>
            <w:r>
              <w:t>N</w:t>
            </w:r>
            <w:r w:rsidR="00296B74" w:rsidRPr="00296B74">
              <w:t>umber</w:t>
            </w:r>
          </w:p>
        </w:tc>
        <w:tc>
          <w:tcPr>
            <w:tcW w:w="6300" w:type="dxa"/>
            <w:vAlign w:val="center"/>
          </w:tcPr>
          <w:p w14:paraId="4EEE3473" w14:textId="3656F03B" w:rsidR="00296B74" w:rsidRPr="00296B74" w:rsidRDefault="009A3CA4" w:rsidP="00296B74">
            <w:r>
              <w:t>(309)444-</w:t>
            </w:r>
            <w:proofErr w:type="gramStart"/>
            <w:r>
              <w:t>3167  Ext</w:t>
            </w:r>
            <w:proofErr w:type="gramEnd"/>
            <w:r>
              <w:t xml:space="preserve"> 1248</w:t>
            </w:r>
          </w:p>
        </w:tc>
      </w:tr>
      <w:tr w:rsidR="00296B74" w14:paraId="056705E3" w14:textId="235F0814" w:rsidTr="001F2EB5">
        <w:trPr>
          <w:trHeight w:val="432"/>
        </w:trPr>
        <w:tc>
          <w:tcPr>
            <w:tcW w:w="2610" w:type="dxa"/>
            <w:vAlign w:val="center"/>
          </w:tcPr>
          <w:p w14:paraId="53191C7F" w14:textId="6F214C21" w:rsidR="00296B74" w:rsidRDefault="00296B74" w:rsidP="00296B74">
            <w:r w:rsidRPr="00296B74">
              <w:t>School</w:t>
            </w:r>
            <w:r w:rsidR="003A1B08">
              <w:t xml:space="preserve"> Name</w:t>
            </w:r>
          </w:p>
        </w:tc>
        <w:tc>
          <w:tcPr>
            <w:tcW w:w="6300" w:type="dxa"/>
            <w:vAlign w:val="center"/>
          </w:tcPr>
          <w:p w14:paraId="0FC5BB1D" w14:textId="59AA34D1" w:rsidR="00296B74" w:rsidRPr="00296B74" w:rsidRDefault="009A3CA4" w:rsidP="00296B74">
            <w:r>
              <w:t>Washington Community High School</w:t>
            </w:r>
          </w:p>
        </w:tc>
      </w:tr>
      <w:tr w:rsidR="001F2EB5" w14:paraId="50DA2FAD" w14:textId="77777777" w:rsidTr="001F2EB5">
        <w:trPr>
          <w:trHeight w:val="432"/>
        </w:trPr>
        <w:tc>
          <w:tcPr>
            <w:tcW w:w="2610" w:type="dxa"/>
            <w:vAlign w:val="center"/>
          </w:tcPr>
          <w:p w14:paraId="11827B76" w14:textId="518F3E90" w:rsidR="001F2EB5" w:rsidRPr="00296B74" w:rsidRDefault="001F2EB5" w:rsidP="00296B74">
            <w:r>
              <w:t>Community College Name</w:t>
            </w:r>
          </w:p>
        </w:tc>
        <w:tc>
          <w:tcPr>
            <w:tcW w:w="6300" w:type="dxa"/>
            <w:vAlign w:val="center"/>
          </w:tcPr>
          <w:p w14:paraId="55C710BE" w14:textId="2D59AD83" w:rsidR="001F2EB5" w:rsidRPr="00296B74" w:rsidRDefault="009A3CA4" w:rsidP="00296B74">
            <w:r>
              <w:t>Illinois Central College</w:t>
            </w:r>
          </w:p>
        </w:tc>
      </w:tr>
    </w:tbl>
    <w:p w14:paraId="1562E952" w14:textId="28FE6BEE" w:rsidR="00296B74" w:rsidRDefault="00296B74" w:rsidP="00296B74"/>
    <w:p w14:paraId="437F5BF5" w14:textId="0206A23A" w:rsidR="00296B74" w:rsidRPr="00296B74" w:rsidRDefault="00296B74" w:rsidP="00296B74">
      <w:pPr>
        <w:rPr>
          <w:u w:val="single"/>
        </w:rPr>
      </w:pPr>
      <w:r w:rsidRPr="00296B74">
        <w:rPr>
          <w:u w:val="single"/>
        </w:rPr>
        <w:t>Course Description</w:t>
      </w:r>
    </w:p>
    <w:p w14:paraId="334D76FD" w14:textId="52F73A11" w:rsidR="0056557E" w:rsidRDefault="0056557E" w:rsidP="0056557E">
      <w:r w:rsidRPr="00AC5DC2">
        <w:t xml:space="preserve">Math course framework designed to prepare and transition students directly into college and career pathways requiring general education college level math competencies in quantitative literacy and statistics. The competencies within each domain should include but are not limited </w:t>
      </w:r>
      <w:proofErr w:type="gramStart"/>
      <w:r w:rsidRPr="00AC5DC2">
        <w:t>to:</w:t>
      </w:r>
      <w:proofErr w:type="gramEnd"/>
      <w:r w:rsidRPr="00AC5DC2">
        <w:t xml:space="preserve"> numeracy (operation sense, estimation, measurement, quantitative reasoning, basic statistics, and mathematical summaries), application based algebraic topics, and functions and modeling. Upon completion students should be able to: demonstrate proficiency and understanding in basic numeracy competencies in whole numbers, integers, fractions, and decimals, use estimation and explain/justify estimates, apply quantitative reasoning to solve problems involving quantities or rates, use mathematical summaries of data such as mean, median, and mode, use and apply algebraic reasoning as one of multiple problem-solving tools, and use functions and modeling processes. Course to be delivered through authentic application, problem-based instruction designed to build mathematical conceptual understanding and critical thinking skills.</w:t>
      </w:r>
    </w:p>
    <w:p w14:paraId="538A3DF2" w14:textId="344EA25E" w:rsidR="00296B74" w:rsidRPr="00AC5DC2" w:rsidRDefault="00AC5DC2" w:rsidP="00296B74">
      <w:r>
        <w:br w:type="page"/>
      </w:r>
      <w:r w:rsidR="00300F7B" w:rsidRPr="00300F7B">
        <w:rPr>
          <w:u w:val="single"/>
        </w:rPr>
        <w:lastRenderedPageBreak/>
        <w:t>Evaluation</w:t>
      </w:r>
    </w:p>
    <w:p w14:paraId="04D2E6CD" w14:textId="77777777" w:rsidR="007F0E54" w:rsidRDefault="00D1616E" w:rsidP="00296B74">
      <w:r w:rsidRPr="00D1616E">
        <w:t>Grade</w:t>
      </w:r>
      <w:r>
        <w:t>s in this course</w:t>
      </w:r>
      <w:r w:rsidR="007F0E54">
        <w:t xml:space="preserve"> are based on the following:</w:t>
      </w:r>
    </w:p>
    <w:p w14:paraId="425763D1" w14:textId="77777777" w:rsidR="007F0E54" w:rsidRDefault="007F0E54" w:rsidP="00296B74">
      <w:r>
        <w:t>40% Exams</w:t>
      </w:r>
    </w:p>
    <w:p w14:paraId="77F99FE2" w14:textId="77777777" w:rsidR="007F0E54" w:rsidRDefault="007F0E54" w:rsidP="00296B74">
      <w:r>
        <w:t>25% Projects</w:t>
      </w:r>
    </w:p>
    <w:p w14:paraId="71C98232" w14:textId="77777777" w:rsidR="007F0E54" w:rsidRDefault="007F0E54" w:rsidP="00296B74">
      <w:r>
        <w:t>20% Homework</w:t>
      </w:r>
    </w:p>
    <w:p w14:paraId="3A9A74AB" w14:textId="2F38B7B9" w:rsidR="007F0E54" w:rsidRDefault="007F0E54" w:rsidP="00296B74">
      <w:r>
        <w:t>15% Final Exam</w:t>
      </w:r>
    </w:p>
    <w:p w14:paraId="18A29146" w14:textId="378F5C88" w:rsidR="007F0E54" w:rsidRDefault="007F0E54" w:rsidP="00296B74">
      <w:r>
        <w:t>No credit will be given for late work.</w:t>
      </w:r>
    </w:p>
    <w:p w14:paraId="11DD8BE6" w14:textId="16A127B3" w:rsidR="007F0E54" w:rsidRDefault="007F0E54" w:rsidP="00296B74"/>
    <w:p w14:paraId="66D5DEEA" w14:textId="7D51C20D" w:rsidR="00D1616E" w:rsidRPr="007F0E54" w:rsidRDefault="007F0E54" w:rsidP="00296B74">
      <w:pPr>
        <w:rPr>
          <w:u w:val="single"/>
        </w:rPr>
      </w:pPr>
      <w:r w:rsidRPr="007F0E54">
        <w:rPr>
          <w:u w:val="single"/>
        </w:rPr>
        <w:t>Grade Scale</w:t>
      </w:r>
      <w:r w:rsidR="00D1616E" w:rsidRPr="007F0E54">
        <w:rPr>
          <w:u w:val="single"/>
        </w:rPr>
        <w:t xml:space="preserve"> </w:t>
      </w:r>
    </w:p>
    <w:p w14:paraId="43BEE62E" w14:textId="77777777" w:rsidR="00D1616E" w:rsidRPr="00D1616E" w:rsidRDefault="00D1616E" w:rsidP="00D1616E">
      <w:pPr>
        <w:autoSpaceDE w:val="0"/>
        <w:autoSpaceDN w:val="0"/>
        <w:adjustRightInd w:val="0"/>
        <w:rPr>
          <w:rFonts w:ascii="Calibri" w:hAnsi="Calibri" w:cs="Calibri"/>
          <w:sz w:val="20"/>
          <w:szCs w:val="20"/>
        </w:rPr>
      </w:pPr>
      <w:r w:rsidRPr="00D1616E">
        <w:rPr>
          <w:rFonts w:ascii="Calibri" w:hAnsi="Calibri" w:cs="Calibri"/>
          <w:sz w:val="20"/>
          <w:szCs w:val="20"/>
        </w:rPr>
        <w:t>A</w:t>
      </w:r>
      <w:r w:rsidRPr="00D1616E">
        <w:rPr>
          <w:rFonts w:ascii="Calibri" w:hAnsi="Calibri" w:cs="Calibri"/>
          <w:sz w:val="20"/>
          <w:szCs w:val="20"/>
        </w:rPr>
        <w:tab/>
        <w:t>100.00 - 93.00</w:t>
      </w:r>
      <w:r w:rsidRPr="00D1616E">
        <w:rPr>
          <w:rFonts w:ascii="Calibri" w:hAnsi="Calibri" w:cs="Calibri"/>
          <w:sz w:val="20"/>
          <w:szCs w:val="20"/>
        </w:rPr>
        <w:tab/>
      </w:r>
      <w:r w:rsidRPr="00D1616E">
        <w:rPr>
          <w:rFonts w:ascii="Calibri" w:hAnsi="Calibri" w:cs="Calibri"/>
          <w:sz w:val="20"/>
          <w:szCs w:val="20"/>
        </w:rPr>
        <w:tab/>
      </w:r>
      <w:r w:rsidRPr="00D1616E">
        <w:rPr>
          <w:rFonts w:ascii="Calibri" w:hAnsi="Calibri" w:cs="Calibri"/>
          <w:sz w:val="20"/>
          <w:szCs w:val="20"/>
        </w:rPr>
        <w:tab/>
      </w:r>
      <w:r w:rsidRPr="00D1616E">
        <w:rPr>
          <w:rFonts w:ascii="Calibri" w:hAnsi="Calibri" w:cs="Calibri"/>
          <w:sz w:val="20"/>
          <w:szCs w:val="20"/>
        </w:rPr>
        <w:tab/>
      </w:r>
      <w:r w:rsidRPr="00D1616E">
        <w:rPr>
          <w:rFonts w:ascii="Calibri" w:hAnsi="Calibri" w:cs="Calibri"/>
          <w:sz w:val="20"/>
          <w:szCs w:val="20"/>
        </w:rPr>
        <w:tab/>
      </w:r>
    </w:p>
    <w:p w14:paraId="0D915698" w14:textId="77777777" w:rsidR="00D1616E" w:rsidRPr="00D1616E" w:rsidRDefault="00D1616E" w:rsidP="00D1616E">
      <w:pPr>
        <w:autoSpaceDE w:val="0"/>
        <w:autoSpaceDN w:val="0"/>
        <w:adjustRightInd w:val="0"/>
        <w:spacing w:line="240" w:lineRule="auto"/>
        <w:rPr>
          <w:rFonts w:ascii="Calibri" w:hAnsi="Calibri" w:cs="Calibri"/>
          <w:sz w:val="20"/>
          <w:szCs w:val="20"/>
        </w:rPr>
      </w:pPr>
      <w:r w:rsidRPr="00D1616E">
        <w:rPr>
          <w:rFonts w:ascii="Calibri" w:hAnsi="Calibri" w:cs="Calibri"/>
          <w:sz w:val="20"/>
          <w:szCs w:val="20"/>
        </w:rPr>
        <w:t>A-</w:t>
      </w:r>
      <w:r w:rsidRPr="00D1616E">
        <w:rPr>
          <w:rFonts w:ascii="Calibri" w:hAnsi="Calibri" w:cs="Calibri"/>
          <w:sz w:val="20"/>
          <w:szCs w:val="20"/>
        </w:rPr>
        <w:tab/>
        <w:t>92.99 - 89.50</w:t>
      </w:r>
      <w:r w:rsidRPr="00D1616E">
        <w:rPr>
          <w:rFonts w:ascii="Calibri" w:hAnsi="Calibri" w:cs="Calibri"/>
          <w:sz w:val="20"/>
          <w:szCs w:val="20"/>
        </w:rPr>
        <w:tab/>
      </w:r>
      <w:r w:rsidRPr="00D1616E">
        <w:rPr>
          <w:rFonts w:ascii="Calibri" w:hAnsi="Calibri" w:cs="Calibri"/>
          <w:sz w:val="20"/>
          <w:szCs w:val="20"/>
        </w:rPr>
        <w:tab/>
      </w:r>
      <w:r w:rsidRPr="00D1616E">
        <w:rPr>
          <w:rFonts w:ascii="Calibri" w:hAnsi="Calibri" w:cs="Calibri"/>
          <w:sz w:val="20"/>
          <w:szCs w:val="20"/>
        </w:rPr>
        <w:tab/>
      </w:r>
      <w:r w:rsidRPr="00D1616E">
        <w:rPr>
          <w:rFonts w:ascii="Calibri" w:hAnsi="Calibri" w:cs="Calibri"/>
          <w:sz w:val="20"/>
          <w:szCs w:val="20"/>
        </w:rPr>
        <w:tab/>
      </w:r>
      <w:r w:rsidRPr="00D1616E">
        <w:rPr>
          <w:rFonts w:ascii="Calibri" w:hAnsi="Calibri" w:cs="Calibri"/>
          <w:sz w:val="20"/>
          <w:szCs w:val="20"/>
        </w:rPr>
        <w:tab/>
      </w:r>
    </w:p>
    <w:p w14:paraId="1BB3BD91" w14:textId="77777777" w:rsidR="00D1616E" w:rsidRPr="00D1616E" w:rsidRDefault="00D1616E" w:rsidP="00D1616E">
      <w:pPr>
        <w:autoSpaceDE w:val="0"/>
        <w:autoSpaceDN w:val="0"/>
        <w:adjustRightInd w:val="0"/>
        <w:spacing w:line="240" w:lineRule="auto"/>
        <w:rPr>
          <w:rFonts w:ascii="Calibri" w:hAnsi="Calibri" w:cs="Calibri"/>
          <w:sz w:val="20"/>
          <w:szCs w:val="20"/>
        </w:rPr>
      </w:pPr>
      <w:r w:rsidRPr="00D1616E">
        <w:rPr>
          <w:rFonts w:ascii="Calibri" w:hAnsi="Calibri" w:cs="Calibri"/>
          <w:sz w:val="20"/>
          <w:szCs w:val="20"/>
        </w:rPr>
        <w:t>B+</w:t>
      </w:r>
      <w:r w:rsidRPr="00D1616E">
        <w:rPr>
          <w:rFonts w:ascii="Calibri" w:hAnsi="Calibri" w:cs="Calibri"/>
          <w:sz w:val="20"/>
          <w:szCs w:val="20"/>
        </w:rPr>
        <w:tab/>
        <w:t>89.49 - 87.00</w:t>
      </w:r>
      <w:r w:rsidRPr="00D1616E">
        <w:rPr>
          <w:rFonts w:ascii="Calibri" w:hAnsi="Calibri" w:cs="Calibri"/>
          <w:sz w:val="20"/>
          <w:szCs w:val="20"/>
        </w:rPr>
        <w:tab/>
      </w:r>
      <w:r w:rsidRPr="00D1616E">
        <w:rPr>
          <w:rFonts w:ascii="Calibri" w:hAnsi="Calibri" w:cs="Calibri"/>
          <w:sz w:val="20"/>
          <w:szCs w:val="20"/>
        </w:rPr>
        <w:tab/>
      </w:r>
      <w:r w:rsidRPr="00D1616E">
        <w:rPr>
          <w:rFonts w:ascii="Calibri" w:hAnsi="Calibri" w:cs="Calibri"/>
          <w:sz w:val="20"/>
          <w:szCs w:val="20"/>
        </w:rPr>
        <w:tab/>
      </w:r>
      <w:r w:rsidRPr="00D1616E">
        <w:rPr>
          <w:rFonts w:ascii="Calibri" w:hAnsi="Calibri" w:cs="Calibri"/>
          <w:sz w:val="20"/>
          <w:szCs w:val="20"/>
        </w:rPr>
        <w:tab/>
      </w:r>
      <w:r w:rsidRPr="00D1616E">
        <w:rPr>
          <w:rFonts w:ascii="Calibri" w:hAnsi="Calibri" w:cs="Calibri"/>
          <w:sz w:val="20"/>
          <w:szCs w:val="20"/>
        </w:rPr>
        <w:tab/>
      </w:r>
    </w:p>
    <w:p w14:paraId="597C2DEE" w14:textId="77777777" w:rsidR="00D1616E" w:rsidRPr="00D1616E" w:rsidRDefault="00D1616E" w:rsidP="00D1616E">
      <w:pPr>
        <w:autoSpaceDE w:val="0"/>
        <w:autoSpaceDN w:val="0"/>
        <w:adjustRightInd w:val="0"/>
        <w:spacing w:line="240" w:lineRule="auto"/>
        <w:rPr>
          <w:rFonts w:ascii="Calibri" w:hAnsi="Calibri" w:cs="Calibri"/>
          <w:sz w:val="20"/>
          <w:szCs w:val="20"/>
        </w:rPr>
      </w:pPr>
      <w:r w:rsidRPr="00D1616E">
        <w:rPr>
          <w:rFonts w:ascii="Calibri" w:hAnsi="Calibri" w:cs="Calibri"/>
          <w:sz w:val="20"/>
          <w:szCs w:val="20"/>
        </w:rPr>
        <w:t>B</w:t>
      </w:r>
      <w:r w:rsidRPr="00D1616E">
        <w:rPr>
          <w:rFonts w:ascii="Calibri" w:hAnsi="Calibri" w:cs="Calibri"/>
          <w:sz w:val="20"/>
          <w:szCs w:val="20"/>
        </w:rPr>
        <w:tab/>
        <w:t>86.99 - 83.00</w:t>
      </w:r>
    </w:p>
    <w:p w14:paraId="0BFADD87" w14:textId="77777777" w:rsidR="00D1616E" w:rsidRPr="00D1616E" w:rsidRDefault="00D1616E" w:rsidP="00D1616E">
      <w:pPr>
        <w:autoSpaceDE w:val="0"/>
        <w:autoSpaceDN w:val="0"/>
        <w:adjustRightInd w:val="0"/>
        <w:spacing w:line="240" w:lineRule="auto"/>
        <w:rPr>
          <w:rFonts w:ascii="Calibri" w:hAnsi="Calibri" w:cs="Calibri"/>
          <w:sz w:val="20"/>
          <w:szCs w:val="20"/>
        </w:rPr>
      </w:pPr>
      <w:r w:rsidRPr="00D1616E">
        <w:rPr>
          <w:rFonts w:ascii="Calibri" w:hAnsi="Calibri" w:cs="Calibri"/>
          <w:sz w:val="20"/>
          <w:szCs w:val="20"/>
        </w:rPr>
        <w:t>B-</w:t>
      </w:r>
      <w:r w:rsidRPr="00D1616E">
        <w:rPr>
          <w:rFonts w:ascii="Calibri" w:hAnsi="Calibri" w:cs="Calibri"/>
          <w:sz w:val="20"/>
          <w:szCs w:val="20"/>
        </w:rPr>
        <w:tab/>
        <w:t>82.99 - 79.50</w:t>
      </w:r>
      <w:r w:rsidRPr="00D1616E">
        <w:rPr>
          <w:rFonts w:ascii="Calibri" w:hAnsi="Calibri" w:cs="Calibri"/>
          <w:sz w:val="20"/>
          <w:szCs w:val="20"/>
        </w:rPr>
        <w:tab/>
      </w:r>
      <w:r w:rsidRPr="00D1616E">
        <w:rPr>
          <w:rFonts w:ascii="Calibri" w:hAnsi="Calibri" w:cs="Calibri"/>
          <w:sz w:val="20"/>
          <w:szCs w:val="20"/>
        </w:rPr>
        <w:tab/>
      </w:r>
      <w:r w:rsidRPr="00D1616E">
        <w:rPr>
          <w:rFonts w:ascii="Calibri" w:hAnsi="Calibri" w:cs="Calibri"/>
          <w:sz w:val="20"/>
          <w:szCs w:val="20"/>
        </w:rPr>
        <w:tab/>
      </w:r>
      <w:r w:rsidRPr="00D1616E">
        <w:rPr>
          <w:rFonts w:ascii="Calibri" w:hAnsi="Calibri" w:cs="Calibri"/>
          <w:sz w:val="20"/>
          <w:szCs w:val="20"/>
        </w:rPr>
        <w:tab/>
      </w:r>
      <w:r w:rsidRPr="00D1616E">
        <w:rPr>
          <w:rFonts w:ascii="Calibri" w:hAnsi="Calibri" w:cs="Calibri"/>
          <w:sz w:val="20"/>
          <w:szCs w:val="20"/>
        </w:rPr>
        <w:tab/>
      </w:r>
    </w:p>
    <w:p w14:paraId="32114442" w14:textId="77777777" w:rsidR="00D1616E" w:rsidRPr="00D1616E" w:rsidRDefault="00D1616E" w:rsidP="00D1616E">
      <w:pPr>
        <w:autoSpaceDE w:val="0"/>
        <w:autoSpaceDN w:val="0"/>
        <w:adjustRightInd w:val="0"/>
        <w:spacing w:line="240" w:lineRule="auto"/>
        <w:rPr>
          <w:rFonts w:ascii="Calibri" w:hAnsi="Calibri" w:cs="Calibri"/>
          <w:sz w:val="20"/>
          <w:szCs w:val="20"/>
        </w:rPr>
      </w:pPr>
      <w:r w:rsidRPr="00D1616E">
        <w:rPr>
          <w:rFonts w:ascii="Calibri" w:hAnsi="Calibri" w:cs="Calibri"/>
          <w:sz w:val="20"/>
          <w:szCs w:val="20"/>
        </w:rPr>
        <w:t>C+</w:t>
      </w:r>
      <w:r w:rsidRPr="00D1616E">
        <w:rPr>
          <w:rFonts w:ascii="Calibri" w:hAnsi="Calibri" w:cs="Calibri"/>
          <w:sz w:val="20"/>
          <w:szCs w:val="20"/>
        </w:rPr>
        <w:tab/>
        <w:t>79.49 - 77.00</w:t>
      </w:r>
      <w:r w:rsidRPr="00D1616E">
        <w:rPr>
          <w:rFonts w:ascii="Calibri" w:hAnsi="Calibri" w:cs="Calibri"/>
          <w:sz w:val="20"/>
          <w:szCs w:val="20"/>
        </w:rPr>
        <w:tab/>
      </w:r>
      <w:r w:rsidRPr="00D1616E">
        <w:rPr>
          <w:rFonts w:ascii="Calibri" w:hAnsi="Calibri" w:cs="Calibri"/>
          <w:sz w:val="20"/>
          <w:szCs w:val="20"/>
        </w:rPr>
        <w:tab/>
      </w:r>
      <w:r w:rsidRPr="00D1616E">
        <w:rPr>
          <w:rFonts w:ascii="Calibri" w:hAnsi="Calibri" w:cs="Calibri"/>
          <w:sz w:val="20"/>
          <w:szCs w:val="20"/>
        </w:rPr>
        <w:tab/>
      </w:r>
      <w:r w:rsidRPr="00D1616E">
        <w:rPr>
          <w:rFonts w:ascii="Calibri" w:hAnsi="Calibri" w:cs="Calibri"/>
          <w:sz w:val="20"/>
          <w:szCs w:val="20"/>
        </w:rPr>
        <w:tab/>
      </w:r>
      <w:r w:rsidRPr="00D1616E">
        <w:rPr>
          <w:rFonts w:ascii="Calibri" w:hAnsi="Calibri" w:cs="Calibri"/>
          <w:sz w:val="20"/>
          <w:szCs w:val="20"/>
        </w:rPr>
        <w:tab/>
      </w:r>
    </w:p>
    <w:p w14:paraId="5B746500" w14:textId="77777777" w:rsidR="00D1616E" w:rsidRPr="00D1616E" w:rsidRDefault="00D1616E" w:rsidP="00D1616E">
      <w:pPr>
        <w:autoSpaceDE w:val="0"/>
        <w:autoSpaceDN w:val="0"/>
        <w:adjustRightInd w:val="0"/>
        <w:spacing w:line="240" w:lineRule="auto"/>
        <w:rPr>
          <w:rFonts w:ascii="Calibri" w:hAnsi="Calibri" w:cs="Calibri"/>
          <w:sz w:val="20"/>
          <w:szCs w:val="20"/>
        </w:rPr>
      </w:pPr>
      <w:r w:rsidRPr="00D1616E">
        <w:rPr>
          <w:rFonts w:ascii="Calibri" w:hAnsi="Calibri" w:cs="Calibri"/>
          <w:sz w:val="20"/>
          <w:szCs w:val="20"/>
        </w:rPr>
        <w:t>C</w:t>
      </w:r>
      <w:r w:rsidRPr="00D1616E">
        <w:rPr>
          <w:rFonts w:ascii="Calibri" w:hAnsi="Calibri" w:cs="Calibri"/>
          <w:sz w:val="20"/>
          <w:szCs w:val="20"/>
        </w:rPr>
        <w:tab/>
        <w:t>76.99 - 73.00</w:t>
      </w:r>
      <w:r w:rsidRPr="00D1616E">
        <w:rPr>
          <w:rFonts w:ascii="Calibri" w:hAnsi="Calibri" w:cs="Calibri"/>
          <w:sz w:val="20"/>
          <w:szCs w:val="20"/>
        </w:rPr>
        <w:tab/>
      </w:r>
      <w:r w:rsidRPr="00D1616E">
        <w:rPr>
          <w:rFonts w:ascii="Calibri" w:hAnsi="Calibri" w:cs="Calibri"/>
          <w:sz w:val="20"/>
          <w:szCs w:val="20"/>
        </w:rPr>
        <w:tab/>
      </w:r>
      <w:r w:rsidRPr="00D1616E">
        <w:rPr>
          <w:rFonts w:ascii="Calibri" w:hAnsi="Calibri" w:cs="Calibri"/>
          <w:sz w:val="20"/>
          <w:szCs w:val="20"/>
        </w:rPr>
        <w:tab/>
      </w:r>
      <w:r w:rsidRPr="00D1616E">
        <w:rPr>
          <w:rFonts w:ascii="Calibri" w:hAnsi="Calibri" w:cs="Calibri"/>
          <w:sz w:val="20"/>
          <w:szCs w:val="20"/>
        </w:rPr>
        <w:tab/>
      </w:r>
      <w:r w:rsidRPr="00D1616E">
        <w:rPr>
          <w:rFonts w:ascii="Calibri" w:hAnsi="Calibri" w:cs="Calibri"/>
          <w:sz w:val="20"/>
          <w:szCs w:val="20"/>
        </w:rPr>
        <w:tab/>
      </w:r>
    </w:p>
    <w:p w14:paraId="1B53A6B7" w14:textId="77777777" w:rsidR="00D1616E" w:rsidRPr="00D1616E" w:rsidRDefault="00D1616E" w:rsidP="00D1616E">
      <w:pPr>
        <w:autoSpaceDE w:val="0"/>
        <w:autoSpaceDN w:val="0"/>
        <w:adjustRightInd w:val="0"/>
        <w:spacing w:line="240" w:lineRule="auto"/>
        <w:rPr>
          <w:rFonts w:ascii="Calibri" w:hAnsi="Calibri" w:cs="Calibri"/>
          <w:sz w:val="20"/>
          <w:szCs w:val="20"/>
        </w:rPr>
      </w:pPr>
      <w:r w:rsidRPr="00D1616E">
        <w:rPr>
          <w:rFonts w:ascii="Calibri" w:hAnsi="Calibri" w:cs="Calibri"/>
          <w:sz w:val="20"/>
          <w:szCs w:val="20"/>
        </w:rPr>
        <w:t>C-</w:t>
      </w:r>
      <w:r w:rsidRPr="00D1616E">
        <w:rPr>
          <w:rFonts w:ascii="Calibri" w:hAnsi="Calibri" w:cs="Calibri"/>
          <w:sz w:val="20"/>
          <w:szCs w:val="20"/>
        </w:rPr>
        <w:tab/>
        <w:t>72.99 - 69.50</w:t>
      </w:r>
      <w:r w:rsidRPr="00D1616E">
        <w:rPr>
          <w:rFonts w:ascii="Calibri" w:hAnsi="Calibri" w:cs="Calibri"/>
          <w:sz w:val="20"/>
          <w:szCs w:val="20"/>
        </w:rPr>
        <w:tab/>
      </w:r>
      <w:r w:rsidRPr="00D1616E">
        <w:rPr>
          <w:rFonts w:ascii="Calibri" w:hAnsi="Calibri" w:cs="Calibri"/>
          <w:sz w:val="20"/>
          <w:szCs w:val="20"/>
        </w:rPr>
        <w:tab/>
      </w:r>
      <w:r w:rsidRPr="00D1616E">
        <w:rPr>
          <w:rFonts w:ascii="Calibri" w:hAnsi="Calibri" w:cs="Calibri"/>
          <w:sz w:val="20"/>
          <w:szCs w:val="20"/>
        </w:rPr>
        <w:tab/>
      </w:r>
      <w:r w:rsidRPr="00D1616E">
        <w:rPr>
          <w:rFonts w:ascii="Calibri" w:hAnsi="Calibri" w:cs="Calibri"/>
          <w:sz w:val="20"/>
          <w:szCs w:val="20"/>
        </w:rPr>
        <w:tab/>
      </w:r>
      <w:r w:rsidRPr="00D1616E">
        <w:rPr>
          <w:rFonts w:ascii="Calibri" w:hAnsi="Calibri" w:cs="Calibri"/>
          <w:sz w:val="20"/>
          <w:szCs w:val="20"/>
        </w:rPr>
        <w:tab/>
      </w:r>
    </w:p>
    <w:p w14:paraId="732F7BAA" w14:textId="77777777" w:rsidR="00D1616E" w:rsidRPr="00D1616E" w:rsidRDefault="00D1616E" w:rsidP="00D1616E">
      <w:pPr>
        <w:autoSpaceDE w:val="0"/>
        <w:autoSpaceDN w:val="0"/>
        <w:adjustRightInd w:val="0"/>
        <w:spacing w:line="240" w:lineRule="auto"/>
        <w:rPr>
          <w:rFonts w:ascii="Calibri" w:hAnsi="Calibri" w:cs="Calibri"/>
          <w:sz w:val="20"/>
          <w:szCs w:val="20"/>
        </w:rPr>
      </w:pPr>
      <w:r w:rsidRPr="00D1616E">
        <w:rPr>
          <w:rFonts w:ascii="Calibri" w:hAnsi="Calibri" w:cs="Calibri"/>
          <w:sz w:val="20"/>
          <w:szCs w:val="20"/>
        </w:rPr>
        <w:t>D+</w:t>
      </w:r>
      <w:r w:rsidRPr="00D1616E">
        <w:rPr>
          <w:rFonts w:ascii="Calibri" w:hAnsi="Calibri" w:cs="Calibri"/>
          <w:sz w:val="20"/>
          <w:szCs w:val="20"/>
        </w:rPr>
        <w:tab/>
        <w:t>69.49 - 67.00</w:t>
      </w:r>
    </w:p>
    <w:p w14:paraId="7FA82A01" w14:textId="77777777" w:rsidR="00D1616E" w:rsidRPr="00D1616E" w:rsidRDefault="00D1616E" w:rsidP="00D1616E">
      <w:pPr>
        <w:autoSpaceDE w:val="0"/>
        <w:autoSpaceDN w:val="0"/>
        <w:adjustRightInd w:val="0"/>
        <w:spacing w:line="240" w:lineRule="auto"/>
        <w:rPr>
          <w:rFonts w:ascii="Calibri" w:hAnsi="Calibri" w:cs="Calibri"/>
          <w:sz w:val="20"/>
          <w:szCs w:val="20"/>
        </w:rPr>
      </w:pPr>
      <w:r w:rsidRPr="00D1616E">
        <w:rPr>
          <w:rFonts w:ascii="Calibri" w:hAnsi="Calibri" w:cs="Calibri"/>
          <w:sz w:val="20"/>
          <w:szCs w:val="20"/>
        </w:rPr>
        <w:t>D</w:t>
      </w:r>
      <w:r w:rsidRPr="00D1616E">
        <w:rPr>
          <w:rFonts w:ascii="Calibri" w:hAnsi="Calibri" w:cs="Calibri"/>
          <w:sz w:val="20"/>
          <w:szCs w:val="20"/>
        </w:rPr>
        <w:tab/>
        <w:t>66.99 - 63.00</w:t>
      </w:r>
    </w:p>
    <w:p w14:paraId="7160754D" w14:textId="77777777" w:rsidR="00D1616E" w:rsidRPr="00D1616E" w:rsidRDefault="00D1616E" w:rsidP="00D1616E">
      <w:pPr>
        <w:autoSpaceDE w:val="0"/>
        <w:autoSpaceDN w:val="0"/>
        <w:adjustRightInd w:val="0"/>
        <w:spacing w:line="240" w:lineRule="auto"/>
        <w:rPr>
          <w:rFonts w:ascii="Calibri" w:hAnsi="Calibri" w:cs="Calibri"/>
          <w:sz w:val="20"/>
          <w:szCs w:val="20"/>
        </w:rPr>
      </w:pPr>
      <w:r w:rsidRPr="00D1616E">
        <w:rPr>
          <w:rFonts w:ascii="Calibri" w:hAnsi="Calibri" w:cs="Calibri"/>
          <w:sz w:val="20"/>
          <w:szCs w:val="20"/>
        </w:rPr>
        <w:t>D-</w:t>
      </w:r>
      <w:r w:rsidRPr="00D1616E">
        <w:rPr>
          <w:rFonts w:ascii="Calibri" w:hAnsi="Calibri" w:cs="Calibri"/>
          <w:sz w:val="20"/>
          <w:szCs w:val="20"/>
        </w:rPr>
        <w:tab/>
        <w:t>62.99 - 59.50</w:t>
      </w:r>
    </w:p>
    <w:p w14:paraId="1C80FE71" w14:textId="77777777" w:rsidR="00D1616E" w:rsidRPr="0039668E" w:rsidRDefault="00D1616E" w:rsidP="00D1616E">
      <w:pPr>
        <w:autoSpaceDE w:val="0"/>
        <w:autoSpaceDN w:val="0"/>
        <w:adjustRightInd w:val="0"/>
        <w:spacing w:line="240" w:lineRule="auto"/>
        <w:rPr>
          <w:rFonts w:ascii="Comic Sans MS" w:hAnsi="Comic Sans MS" w:cs="Courier New"/>
          <w:sz w:val="20"/>
          <w:szCs w:val="20"/>
        </w:rPr>
      </w:pPr>
      <w:r w:rsidRPr="00D1616E">
        <w:rPr>
          <w:rFonts w:ascii="Calibri" w:hAnsi="Calibri" w:cs="Calibri"/>
          <w:sz w:val="20"/>
          <w:szCs w:val="20"/>
        </w:rPr>
        <w:t>F</w:t>
      </w:r>
      <w:r w:rsidRPr="00D1616E">
        <w:rPr>
          <w:rFonts w:ascii="Calibri" w:hAnsi="Calibri" w:cs="Calibri"/>
          <w:sz w:val="20"/>
          <w:szCs w:val="20"/>
        </w:rPr>
        <w:tab/>
        <w:t xml:space="preserve">59.49 </w:t>
      </w:r>
      <w:proofErr w:type="gramStart"/>
      <w:r w:rsidRPr="00D1616E">
        <w:rPr>
          <w:rFonts w:ascii="Calibri" w:hAnsi="Calibri" w:cs="Calibri"/>
          <w:sz w:val="20"/>
          <w:szCs w:val="20"/>
        </w:rPr>
        <w:t>-  0.00</w:t>
      </w:r>
      <w:proofErr w:type="gramEnd"/>
    </w:p>
    <w:p w14:paraId="3CA2F85E" w14:textId="25FC10A1" w:rsidR="00B71FAE" w:rsidRDefault="00B71FAE" w:rsidP="00296B74"/>
    <w:p w14:paraId="5216B439" w14:textId="4C0CD057" w:rsidR="001F2EB5" w:rsidRDefault="001F2EB5" w:rsidP="00296B74"/>
    <w:p w14:paraId="64F02FB5" w14:textId="32AAEC91" w:rsidR="00B71FAE" w:rsidRPr="00B71FAE" w:rsidRDefault="00B71FAE" w:rsidP="00296B74">
      <w:pPr>
        <w:rPr>
          <w:u w:val="single"/>
        </w:rPr>
      </w:pPr>
      <w:r w:rsidRPr="00B71FAE">
        <w:rPr>
          <w:u w:val="single"/>
        </w:rPr>
        <w:t>Course Materials</w:t>
      </w:r>
    </w:p>
    <w:p w14:paraId="32F7CB40" w14:textId="77777777" w:rsidR="0009268F" w:rsidRDefault="0009268F" w:rsidP="00296B74">
      <w:r w:rsidRPr="0009268F">
        <w:t>Textbook:</w:t>
      </w:r>
      <w:r>
        <w:t xml:space="preserve"> Pathways to Literacy: Second Edition.  </w:t>
      </w:r>
      <w:proofErr w:type="spellStart"/>
      <w:r>
        <w:t>Sobecki</w:t>
      </w:r>
      <w:proofErr w:type="spellEnd"/>
      <w:r>
        <w:t xml:space="preserve"> &amp; Mercer.  McGraw Hill, 2019.  </w:t>
      </w:r>
    </w:p>
    <w:p w14:paraId="5C044261" w14:textId="2A260191" w:rsidR="0009268F" w:rsidRDefault="0009268F" w:rsidP="00296B74">
      <w:r>
        <w:t>ISBN: 978-1-260-40493-7</w:t>
      </w:r>
    </w:p>
    <w:p w14:paraId="29280745" w14:textId="4C6E6163" w:rsidR="0009268F" w:rsidRDefault="0009268F" w:rsidP="00296B74">
      <w:r>
        <w:t xml:space="preserve">Students will need a notebook, calculator, </w:t>
      </w:r>
      <w:r w:rsidR="001A04E9">
        <w:t xml:space="preserve">access to spreadsheets, </w:t>
      </w:r>
      <w:r>
        <w:t xml:space="preserve">access to the internet outside of class, and access to IXL for some additional homework assignments </w:t>
      </w:r>
    </w:p>
    <w:p w14:paraId="50582E1D" w14:textId="03DC1B88" w:rsidR="0009268F" w:rsidRDefault="0009268F" w:rsidP="00296B74"/>
    <w:p w14:paraId="2E18DC9E" w14:textId="77777777" w:rsidR="0009268F" w:rsidRPr="0009268F" w:rsidRDefault="0009268F" w:rsidP="00296B74"/>
    <w:p w14:paraId="62424067" w14:textId="44BE8515" w:rsidR="00B71FAE" w:rsidRDefault="00B71FAE" w:rsidP="00296B74">
      <w:pPr>
        <w:rPr>
          <w:u w:val="single"/>
        </w:rPr>
      </w:pPr>
      <w:r w:rsidRPr="00B71FAE">
        <w:rPr>
          <w:u w:val="single"/>
        </w:rPr>
        <w:lastRenderedPageBreak/>
        <w:t>Course Units of Study</w:t>
      </w:r>
    </w:p>
    <w:p w14:paraId="277215A7" w14:textId="77777777" w:rsidR="00B2554A" w:rsidRDefault="005B001A" w:rsidP="00B2554A">
      <w:pPr>
        <w:pStyle w:val="ListParagraph"/>
        <w:rPr>
          <w:rFonts w:ascii="Arial" w:hAnsi="Arial" w:cs="Arial"/>
          <w:color w:val="000000"/>
        </w:rPr>
      </w:pPr>
      <w:r>
        <w:rPr>
          <w:rFonts w:ascii="Arial" w:hAnsi="Arial" w:cs="Arial"/>
          <w:color w:val="000000"/>
        </w:rPr>
        <w:t>Unit 1: Organizing and Visualizing Numeric Data  (18 Days)</w:t>
      </w:r>
      <w:r>
        <w:rPr>
          <w:rFonts w:ascii="&amp;quot" w:hAnsi="&amp;quot"/>
          <w:color w:val="000000"/>
        </w:rPr>
        <w:br/>
      </w:r>
      <w:r>
        <w:rPr>
          <w:rFonts w:ascii="Arial" w:hAnsi="Arial" w:cs="Arial"/>
          <w:color w:val="000000"/>
        </w:rPr>
        <w:t>Percentages, Pie Charts, and Bar Graphs</w:t>
      </w:r>
      <w:r w:rsidR="00B2554A">
        <w:rPr>
          <w:rFonts w:ascii="Arial" w:hAnsi="Arial" w:cs="Arial"/>
          <w:color w:val="000000"/>
        </w:rPr>
        <w:t xml:space="preserve">, </w:t>
      </w:r>
      <w:r w:rsidRPr="00B2554A">
        <w:rPr>
          <w:rFonts w:ascii="Arial" w:hAnsi="Arial" w:cs="Arial"/>
          <w:color w:val="000000"/>
        </w:rPr>
        <w:t>Using Addition and Subtraction Skills</w:t>
      </w:r>
      <w:r w:rsidR="00B2554A">
        <w:rPr>
          <w:rFonts w:ascii="Arial" w:hAnsi="Arial" w:cs="Arial"/>
          <w:color w:val="000000"/>
        </w:rPr>
        <w:t xml:space="preserve">, </w:t>
      </w:r>
      <w:r w:rsidRPr="00B2554A">
        <w:rPr>
          <w:rFonts w:ascii="Arial" w:hAnsi="Arial" w:cs="Arial"/>
          <w:color w:val="000000"/>
        </w:rPr>
        <w:t>Using Multiplication and Division Skills</w:t>
      </w:r>
      <w:r w:rsidR="00B2554A">
        <w:rPr>
          <w:rFonts w:ascii="Arial" w:hAnsi="Arial" w:cs="Arial"/>
          <w:color w:val="000000"/>
        </w:rPr>
        <w:t xml:space="preserve">, </w:t>
      </w:r>
      <w:r w:rsidRPr="00B2554A">
        <w:rPr>
          <w:rFonts w:ascii="Arial" w:hAnsi="Arial" w:cs="Arial"/>
          <w:color w:val="000000"/>
        </w:rPr>
        <w:t>Using Exponents and Order of Operation</w:t>
      </w:r>
      <w:r w:rsidR="00B2554A">
        <w:rPr>
          <w:rFonts w:ascii="Arial" w:hAnsi="Arial" w:cs="Arial"/>
          <w:color w:val="000000"/>
        </w:rPr>
        <w:t xml:space="preserve">, </w:t>
      </w:r>
      <w:r w:rsidRPr="00B2554A">
        <w:rPr>
          <w:rFonts w:ascii="Arial" w:hAnsi="Arial" w:cs="Arial"/>
          <w:color w:val="000000"/>
        </w:rPr>
        <w:t>The Basics of Graphing</w:t>
      </w:r>
      <w:r w:rsidR="00B2554A">
        <w:rPr>
          <w:rFonts w:ascii="Arial" w:hAnsi="Arial" w:cs="Arial"/>
          <w:color w:val="000000"/>
        </w:rPr>
        <w:t xml:space="preserve">, </w:t>
      </w:r>
      <w:r w:rsidRPr="00B2554A">
        <w:rPr>
          <w:rFonts w:ascii="Arial" w:hAnsi="Arial" w:cs="Arial"/>
          <w:color w:val="000000"/>
        </w:rPr>
        <w:t>Basic Probability</w:t>
      </w:r>
      <w:r w:rsidR="00B2554A">
        <w:rPr>
          <w:rFonts w:ascii="Arial" w:hAnsi="Arial" w:cs="Arial"/>
          <w:color w:val="000000"/>
        </w:rPr>
        <w:t xml:space="preserve">, </w:t>
      </w:r>
      <w:r w:rsidRPr="00B2554A">
        <w:rPr>
          <w:rFonts w:ascii="Arial" w:hAnsi="Arial" w:cs="Arial"/>
          <w:color w:val="000000"/>
        </w:rPr>
        <w:t>Using Scientific Notation</w:t>
      </w:r>
      <w:r w:rsidR="00B2554A">
        <w:rPr>
          <w:rFonts w:ascii="Arial" w:hAnsi="Arial" w:cs="Arial"/>
          <w:color w:val="000000"/>
        </w:rPr>
        <w:t xml:space="preserve">, </w:t>
      </w:r>
      <w:r w:rsidRPr="00B2554A">
        <w:rPr>
          <w:rFonts w:ascii="Arial" w:hAnsi="Arial" w:cs="Arial"/>
          <w:color w:val="000000"/>
        </w:rPr>
        <w:t>Organizing Information with Venn Diagrams</w:t>
      </w:r>
      <w:r w:rsidR="00B2554A">
        <w:rPr>
          <w:rFonts w:ascii="Arial" w:hAnsi="Arial" w:cs="Arial"/>
          <w:color w:val="000000"/>
        </w:rPr>
        <w:t xml:space="preserve">, </w:t>
      </w:r>
      <w:r w:rsidRPr="00B2554A">
        <w:rPr>
          <w:rFonts w:ascii="Arial" w:hAnsi="Arial" w:cs="Arial"/>
          <w:color w:val="000000"/>
        </w:rPr>
        <w:t>Gathering and Organizing Data</w:t>
      </w:r>
      <w:r w:rsidRPr="00B2554A">
        <w:rPr>
          <w:rFonts w:ascii="&amp;quot" w:hAnsi="&amp;quot"/>
          <w:color w:val="000000"/>
        </w:rPr>
        <w:br/>
      </w:r>
    </w:p>
    <w:p w14:paraId="4D754295" w14:textId="5420087A" w:rsidR="00B2554A" w:rsidRDefault="005B001A" w:rsidP="00B2554A">
      <w:pPr>
        <w:pStyle w:val="ListParagraph"/>
        <w:rPr>
          <w:rFonts w:ascii="Arial" w:hAnsi="Arial" w:cs="Arial"/>
          <w:color w:val="000000"/>
        </w:rPr>
      </w:pPr>
      <w:r w:rsidRPr="00B2554A">
        <w:rPr>
          <w:rFonts w:ascii="Arial" w:hAnsi="Arial" w:cs="Arial"/>
          <w:color w:val="000000"/>
        </w:rPr>
        <w:t>Unit 2: Making Sense of It All </w:t>
      </w:r>
      <w:r w:rsidR="00B2554A">
        <w:rPr>
          <w:rFonts w:ascii="Arial" w:hAnsi="Arial" w:cs="Arial"/>
          <w:color w:val="000000"/>
        </w:rPr>
        <w:t>(12 Days)</w:t>
      </w:r>
      <w:r w:rsidRPr="00B2554A">
        <w:rPr>
          <w:rFonts w:ascii="&amp;quot" w:hAnsi="&amp;quot"/>
          <w:color w:val="000000"/>
        </w:rPr>
        <w:br/>
      </w:r>
      <w:r w:rsidRPr="00B2554A">
        <w:rPr>
          <w:rFonts w:ascii="Arial" w:hAnsi="Arial" w:cs="Arial"/>
          <w:color w:val="000000"/>
        </w:rPr>
        <w:t>Using Measures of Average</w:t>
      </w:r>
      <w:r w:rsidR="00B2554A">
        <w:rPr>
          <w:rFonts w:ascii="Arial" w:hAnsi="Arial" w:cs="Arial"/>
          <w:color w:val="000000"/>
        </w:rPr>
        <w:t xml:space="preserve">, </w:t>
      </w:r>
      <w:r w:rsidRPr="00B2554A">
        <w:rPr>
          <w:rFonts w:ascii="Arial" w:hAnsi="Arial" w:cs="Arial"/>
          <w:color w:val="000000"/>
        </w:rPr>
        <w:t>Inputs, Outputs, and Interpreting Expressions</w:t>
      </w:r>
      <w:r w:rsidR="00B2554A">
        <w:rPr>
          <w:rFonts w:ascii="Arial" w:hAnsi="Arial" w:cs="Arial"/>
          <w:color w:val="000000"/>
        </w:rPr>
        <w:t xml:space="preserve">, </w:t>
      </w:r>
      <w:r w:rsidRPr="00B2554A">
        <w:rPr>
          <w:rFonts w:ascii="Arial" w:hAnsi="Arial" w:cs="Arial"/>
          <w:color w:val="000000"/>
        </w:rPr>
        <w:t>Working with Units and Formulas</w:t>
      </w:r>
      <w:r w:rsidR="00B2554A">
        <w:rPr>
          <w:rFonts w:ascii="Arial" w:hAnsi="Arial" w:cs="Arial"/>
          <w:color w:val="000000"/>
        </w:rPr>
        <w:t xml:space="preserve">, </w:t>
      </w:r>
      <w:r w:rsidRPr="00B2554A">
        <w:rPr>
          <w:rFonts w:ascii="Arial" w:hAnsi="Arial" w:cs="Arial"/>
          <w:color w:val="000000"/>
        </w:rPr>
        <w:t>Dimensional Analysis</w:t>
      </w:r>
      <w:r w:rsidR="00B2554A">
        <w:rPr>
          <w:rFonts w:ascii="Arial" w:hAnsi="Arial" w:cs="Arial"/>
          <w:color w:val="000000"/>
        </w:rPr>
        <w:t xml:space="preserve">, </w:t>
      </w:r>
      <w:r w:rsidRPr="00B2554A">
        <w:rPr>
          <w:rFonts w:ascii="Arial" w:hAnsi="Arial" w:cs="Arial"/>
          <w:color w:val="000000"/>
        </w:rPr>
        <w:t>Estimation and Number Sense</w:t>
      </w:r>
      <w:r w:rsidR="00B2554A">
        <w:rPr>
          <w:rFonts w:ascii="Arial" w:hAnsi="Arial" w:cs="Arial"/>
          <w:color w:val="000000"/>
        </w:rPr>
        <w:t xml:space="preserve">, </w:t>
      </w:r>
      <w:r w:rsidRPr="00B2554A">
        <w:rPr>
          <w:rFonts w:ascii="Arial" w:hAnsi="Arial" w:cs="Arial"/>
          <w:color w:val="000000"/>
        </w:rPr>
        <w:t>Interpreting Relative Change/Percent Error</w:t>
      </w:r>
    </w:p>
    <w:p w14:paraId="4E5FADC2" w14:textId="77777777" w:rsidR="00B2554A" w:rsidRDefault="00B2554A" w:rsidP="00B2554A">
      <w:pPr>
        <w:pStyle w:val="ListParagraph"/>
        <w:rPr>
          <w:rFonts w:ascii="Arial" w:hAnsi="Arial" w:cs="Arial"/>
          <w:color w:val="000000"/>
        </w:rPr>
      </w:pPr>
    </w:p>
    <w:p w14:paraId="12514C88" w14:textId="77777777" w:rsidR="00B2554A" w:rsidRDefault="005B001A" w:rsidP="00B2554A">
      <w:pPr>
        <w:pStyle w:val="ListParagraph"/>
        <w:rPr>
          <w:rFonts w:ascii="Arial" w:hAnsi="Arial" w:cs="Arial"/>
          <w:color w:val="000000"/>
        </w:rPr>
      </w:pPr>
      <w:r w:rsidRPr="00B2554A">
        <w:rPr>
          <w:rFonts w:ascii="Arial" w:hAnsi="Arial" w:cs="Arial"/>
          <w:color w:val="000000"/>
        </w:rPr>
        <w:t>Unit 3: Thinking Linearly </w:t>
      </w:r>
      <w:r w:rsidR="00B2554A">
        <w:rPr>
          <w:rFonts w:ascii="Arial" w:hAnsi="Arial" w:cs="Arial"/>
          <w:color w:val="000000"/>
        </w:rPr>
        <w:t>(20 Days)</w:t>
      </w:r>
      <w:r w:rsidRPr="00B2554A">
        <w:rPr>
          <w:rFonts w:ascii="&amp;quot" w:hAnsi="&amp;quot"/>
          <w:color w:val="000000"/>
        </w:rPr>
        <w:br/>
      </w:r>
      <w:r w:rsidRPr="00B2554A">
        <w:rPr>
          <w:rFonts w:ascii="Arial" w:hAnsi="Arial" w:cs="Arial"/>
          <w:color w:val="000000"/>
        </w:rPr>
        <w:t>Slope as a Rate of Change</w:t>
      </w:r>
      <w:r w:rsidR="00B2554A">
        <w:rPr>
          <w:rFonts w:ascii="Arial" w:hAnsi="Arial" w:cs="Arial"/>
          <w:color w:val="000000"/>
        </w:rPr>
        <w:t xml:space="preserve">, </w:t>
      </w:r>
      <w:r w:rsidRPr="00B2554A">
        <w:rPr>
          <w:rFonts w:ascii="Arial" w:hAnsi="Arial" w:cs="Arial"/>
          <w:color w:val="000000"/>
        </w:rPr>
        <w:t>Writing, Interpreting, and Evaluating Algebraic Expressions</w:t>
      </w:r>
      <w:r w:rsidR="00B2554A">
        <w:rPr>
          <w:rFonts w:ascii="Arial" w:hAnsi="Arial" w:cs="Arial"/>
          <w:color w:val="000000"/>
        </w:rPr>
        <w:t xml:space="preserve">, </w:t>
      </w:r>
      <w:r w:rsidRPr="00B2554A">
        <w:rPr>
          <w:rFonts w:ascii="Arial" w:hAnsi="Arial" w:cs="Arial"/>
          <w:color w:val="000000"/>
        </w:rPr>
        <w:t>Solving Equations</w:t>
      </w:r>
      <w:r w:rsidR="00B2554A">
        <w:rPr>
          <w:rFonts w:ascii="Arial" w:hAnsi="Arial" w:cs="Arial"/>
          <w:color w:val="000000"/>
        </w:rPr>
        <w:t xml:space="preserve">, </w:t>
      </w:r>
      <w:r w:rsidRPr="00B2554A">
        <w:rPr>
          <w:rFonts w:ascii="Arial" w:hAnsi="Arial" w:cs="Arial"/>
          <w:color w:val="000000"/>
        </w:rPr>
        <w:t>Solving Inequalities</w:t>
      </w:r>
      <w:r w:rsidR="00B2554A">
        <w:rPr>
          <w:rFonts w:ascii="Arial" w:hAnsi="Arial" w:cs="Arial"/>
          <w:color w:val="000000"/>
        </w:rPr>
        <w:t xml:space="preserve">, </w:t>
      </w:r>
      <w:r w:rsidRPr="00B2554A">
        <w:rPr>
          <w:rFonts w:ascii="Arial" w:hAnsi="Arial" w:cs="Arial"/>
          <w:color w:val="000000"/>
        </w:rPr>
        <w:t>Solving Problems Numerically and Algebraically</w:t>
      </w:r>
      <w:r w:rsidR="00B2554A">
        <w:rPr>
          <w:rFonts w:ascii="Arial" w:hAnsi="Arial" w:cs="Arial"/>
          <w:color w:val="000000"/>
        </w:rPr>
        <w:t xml:space="preserve">, </w:t>
      </w:r>
      <w:r w:rsidRPr="00B2554A">
        <w:rPr>
          <w:rFonts w:ascii="Arial" w:hAnsi="Arial" w:cs="Arial"/>
          <w:color w:val="000000"/>
        </w:rPr>
        <w:t>Direct Variation and Proportions</w:t>
      </w:r>
      <w:r w:rsidR="00B2554A">
        <w:rPr>
          <w:rFonts w:ascii="Arial" w:hAnsi="Arial" w:cs="Arial"/>
          <w:color w:val="000000"/>
        </w:rPr>
        <w:t xml:space="preserve">, </w:t>
      </w:r>
      <w:r w:rsidRPr="00B2554A">
        <w:rPr>
          <w:rFonts w:ascii="Arial" w:hAnsi="Arial" w:cs="Arial"/>
          <w:color w:val="000000"/>
        </w:rPr>
        <w:t>Direct Variation and Proportions</w:t>
      </w:r>
      <w:r w:rsidR="00B2554A">
        <w:rPr>
          <w:rFonts w:ascii="Arial" w:hAnsi="Arial" w:cs="Arial"/>
          <w:color w:val="000000"/>
        </w:rPr>
        <w:t xml:space="preserve">, </w:t>
      </w:r>
      <w:r w:rsidRPr="00B2554A">
        <w:rPr>
          <w:rFonts w:ascii="Arial" w:hAnsi="Arial" w:cs="Arial"/>
          <w:color w:val="000000"/>
        </w:rPr>
        <w:t>Point-Slope Form and Linear Modeling</w:t>
      </w:r>
      <w:r w:rsidR="00B2554A">
        <w:rPr>
          <w:rFonts w:ascii="Arial" w:hAnsi="Arial" w:cs="Arial"/>
          <w:color w:val="000000"/>
        </w:rPr>
        <w:t xml:space="preserve">, </w:t>
      </w:r>
      <w:r w:rsidRPr="00B2554A">
        <w:rPr>
          <w:rFonts w:ascii="Arial" w:hAnsi="Arial" w:cs="Arial"/>
          <w:color w:val="000000"/>
        </w:rPr>
        <w:t>Linear Relationships and Lines of Best Fit</w:t>
      </w:r>
      <w:r w:rsidR="00B2554A">
        <w:rPr>
          <w:rFonts w:ascii="Arial" w:hAnsi="Arial" w:cs="Arial"/>
          <w:color w:val="000000"/>
        </w:rPr>
        <w:t>,</w:t>
      </w:r>
      <w:r w:rsidRPr="00B2554A">
        <w:rPr>
          <w:rFonts w:ascii="Arial" w:hAnsi="Arial" w:cs="Arial"/>
          <w:color w:val="000000"/>
        </w:rPr>
        <w:t xml:space="preserve"> Problems with Systems of Equations</w:t>
      </w:r>
    </w:p>
    <w:p w14:paraId="4BE91E03" w14:textId="40EDCBF1" w:rsidR="00746F0B" w:rsidRDefault="005B001A" w:rsidP="00B2554A">
      <w:pPr>
        <w:pStyle w:val="ListParagraph"/>
        <w:rPr>
          <w:rFonts w:ascii="Arial" w:hAnsi="Arial" w:cs="Arial"/>
          <w:color w:val="000000"/>
        </w:rPr>
      </w:pPr>
      <w:r w:rsidRPr="00B2554A">
        <w:rPr>
          <w:rFonts w:ascii="&amp;quot" w:hAnsi="&amp;quot"/>
          <w:color w:val="000000"/>
        </w:rPr>
        <w:br/>
      </w:r>
      <w:r w:rsidRPr="00B2554A">
        <w:rPr>
          <w:rFonts w:ascii="Arial" w:hAnsi="Arial" w:cs="Arial"/>
          <w:color w:val="000000"/>
        </w:rPr>
        <w:t>Unit 4: Living in a Nonlinear World </w:t>
      </w:r>
      <w:r w:rsidR="00B2554A">
        <w:rPr>
          <w:rFonts w:ascii="Arial" w:hAnsi="Arial" w:cs="Arial"/>
          <w:color w:val="000000"/>
        </w:rPr>
        <w:t>(24 Days)</w:t>
      </w:r>
      <w:r w:rsidRPr="00B2554A">
        <w:rPr>
          <w:rFonts w:ascii="&amp;quot" w:hAnsi="&amp;quot"/>
          <w:color w:val="000000"/>
        </w:rPr>
        <w:br/>
      </w:r>
      <w:r w:rsidRPr="00B2554A">
        <w:rPr>
          <w:rFonts w:ascii="Arial" w:hAnsi="Arial" w:cs="Arial"/>
          <w:color w:val="000000"/>
        </w:rPr>
        <w:t>The Pythagorean Theorem and Distance</w:t>
      </w:r>
      <w:r w:rsidR="00B2554A">
        <w:rPr>
          <w:rFonts w:ascii="Arial" w:hAnsi="Arial" w:cs="Arial"/>
          <w:color w:val="000000"/>
        </w:rPr>
        <w:t xml:space="preserve">, </w:t>
      </w:r>
      <w:r w:rsidRPr="00B2554A">
        <w:rPr>
          <w:rFonts w:ascii="Arial" w:hAnsi="Arial" w:cs="Arial"/>
          <w:color w:val="000000"/>
        </w:rPr>
        <w:t>Exponential Growth Graphs of Quadratic Equations</w:t>
      </w:r>
      <w:r w:rsidR="00B2554A">
        <w:rPr>
          <w:rFonts w:ascii="Arial" w:hAnsi="Arial" w:cs="Arial"/>
          <w:color w:val="000000"/>
        </w:rPr>
        <w:t xml:space="preserve">, </w:t>
      </w:r>
      <w:r w:rsidRPr="00B2554A">
        <w:rPr>
          <w:rFonts w:ascii="Arial" w:hAnsi="Arial" w:cs="Arial"/>
          <w:color w:val="000000"/>
        </w:rPr>
        <w:t>Add, Subtract, and Multiply Expressions</w:t>
      </w:r>
      <w:r w:rsidR="00B2554A">
        <w:rPr>
          <w:rFonts w:ascii="Arial" w:hAnsi="Arial" w:cs="Arial"/>
          <w:color w:val="000000"/>
        </w:rPr>
        <w:t xml:space="preserve">, </w:t>
      </w:r>
      <w:r w:rsidRPr="00B2554A">
        <w:rPr>
          <w:rFonts w:ascii="Arial" w:hAnsi="Arial" w:cs="Arial"/>
          <w:color w:val="000000"/>
        </w:rPr>
        <w:t>Factoring</w:t>
      </w:r>
      <w:r w:rsidR="00B2554A">
        <w:rPr>
          <w:rFonts w:ascii="Arial" w:hAnsi="Arial" w:cs="Arial"/>
          <w:color w:val="000000"/>
        </w:rPr>
        <w:t>, T</w:t>
      </w:r>
      <w:r w:rsidRPr="00B2554A">
        <w:rPr>
          <w:rFonts w:ascii="Arial" w:hAnsi="Arial" w:cs="Arial"/>
          <w:color w:val="000000"/>
        </w:rPr>
        <w:t>he Quadratic Formula and Max/Min</w:t>
      </w:r>
      <w:r w:rsidR="00B2554A">
        <w:rPr>
          <w:rFonts w:ascii="Arial" w:hAnsi="Arial" w:cs="Arial"/>
          <w:color w:val="000000"/>
        </w:rPr>
        <w:t xml:space="preserve">, </w:t>
      </w:r>
      <w:r w:rsidRPr="00B2554A">
        <w:rPr>
          <w:rFonts w:ascii="Arial" w:hAnsi="Arial" w:cs="Arial"/>
          <w:color w:val="000000"/>
        </w:rPr>
        <w:t>Quadratic Curve Fitting</w:t>
      </w:r>
    </w:p>
    <w:p w14:paraId="7DB5B5A3" w14:textId="77777777" w:rsidR="00B2554A" w:rsidRPr="00B2554A" w:rsidRDefault="00B2554A" w:rsidP="00B2554A">
      <w:pPr>
        <w:pStyle w:val="ListParagraph"/>
        <w:rPr>
          <w:rFonts w:ascii="Arial" w:hAnsi="Arial" w:cs="Arial"/>
          <w:color w:val="000000"/>
        </w:rPr>
      </w:pPr>
    </w:p>
    <w:p w14:paraId="7FFEA45D" w14:textId="34253053" w:rsidR="00B71FAE" w:rsidRPr="00B71FAE" w:rsidRDefault="00B71FAE" w:rsidP="00296B74">
      <w:pPr>
        <w:rPr>
          <w:u w:val="single"/>
        </w:rPr>
      </w:pPr>
      <w:r w:rsidRPr="00B71FAE">
        <w:rPr>
          <w:u w:val="single"/>
        </w:rPr>
        <w:t>Process Competencies</w:t>
      </w:r>
    </w:p>
    <w:p w14:paraId="3F64A915" w14:textId="2CA841B3" w:rsidR="00B71FAE" w:rsidRPr="00F51390" w:rsidRDefault="00B71FAE" w:rsidP="00B71FAE">
      <w:r w:rsidRPr="00AA1B43">
        <w:t>Transitional courses are intended to help students develop conceptual understanding and problem-</w:t>
      </w:r>
      <w:r w:rsidRPr="00F51390">
        <w:t xml:space="preserve">solving ability as well as college and career readiness. To that end, the courses include process competencies related to mathematical and student success. While these competencies are not assessed directly, they should be a part of instruction and assessed indirectly. See page 6 in the </w:t>
      </w:r>
      <w:r w:rsidRPr="00B71FAE">
        <w:rPr>
          <w:i/>
        </w:rPr>
        <w:t>Competencies and Policies Document</w:t>
      </w:r>
      <w:r w:rsidRPr="00F51390">
        <w:t xml:space="preserve"> </w:t>
      </w:r>
      <w:r>
        <w:t xml:space="preserve">at www.iltransitionalmath.org </w:t>
      </w:r>
      <w:r w:rsidRPr="00F51390">
        <w:t>for more information.</w:t>
      </w:r>
    </w:p>
    <w:p w14:paraId="6E8CDA2E" w14:textId="6B76DA17" w:rsidR="001A04E9" w:rsidRPr="001A04E9" w:rsidRDefault="001A04E9" w:rsidP="001A04E9">
      <w:pPr>
        <w:rPr>
          <w:color w:val="FF0000"/>
        </w:rPr>
      </w:pPr>
      <w:r w:rsidRPr="001A04E9">
        <w:rPr>
          <w:color w:val="000000" w:themeColor="text1"/>
        </w:rPr>
        <w:t xml:space="preserve">Data Modeling supports student development of conceptual understanding and </w:t>
      </w:r>
      <w:proofErr w:type="gramStart"/>
      <w:r w:rsidRPr="001A04E9">
        <w:rPr>
          <w:color w:val="000000" w:themeColor="text1"/>
        </w:rPr>
        <w:t>problem solving</w:t>
      </w:r>
      <w:proofErr w:type="gramEnd"/>
      <w:r w:rsidRPr="001A04E9">
        <w:rPr>
          <w:color w:val="000000" w:themeColor="text1"/>
        </w:rPr>
        <w:t xml:space="preserve"> ability as well as college and career readiness through utilization of the Common Core Standards for Mathematical Practice.  </w:t>
      </w:r>
      <w:r w:rsidR="005813A5">
        <w:rPr>
          <w:color w:val="000000" w:themeColor="text1"/>
        </w:rPr>
        <w:t>Students gain background knowledge by working through IXL modules. Then s</w:t>
      </w:r>
      <w:r w:rsidRPr="001A04E9">
        <w:rPr>
          <w:color w:val="000000" w:themeColor="text1"/>
        </w:rPr>
        <w:t xml:space="preserve">tudents are required to make sense of problems and persevere in solving them, reason abstractly and quantitatively, and construct viable arguments and critique the reasoning of others throughout all </w:t>
      </w:r>
      <w:r>
        <w:rPr>
          <w:color w:val="000000" w:themeColor="text1"/>
        </w:rPr>
        <w:t>four</w:t>
      </w:r>
      <w:r w:rsidRPr="001A04E9">
        <w:rPr>
          <w:color w:val="000000" w:themeColor="text1"/>
        </w:rPr>
        <w:t xml:space="preserve"> units.  A specific example includes the </w:t>
      </w:r>
      <w:r>
        <w:rPr>
          <w:color w:val="000000" w:themeColor="text1"/>
        </w:rPr>
        <w:t>3-6</w:t>
      </w:r>
      <w:r w:rsidRPr="001A04E9">
        <w:rPr>
          <w:color w:val="000000" w:themeColor="text1"/>
        </w:rPr>
        <w:t xml:space="preserve"> Modeling Data Using Linear Functions unit project which requires students to reason abstractly and quantitatively by determining the line of best fit for student selected data. Students then justify their groups work, demonstrate critical thinking by analyzing and critiquing the reasoning of others before and after student presentations.  Students will use appropriate modes of technology (calculators, spreadsheets, and tablets/computers) throughout all units</w:t>
      </w:r>
      <w:r>
        <w:rPr>
          <w:color w:val="000000" w:themeColor="text1"/>
        </w:rPr>
        <w:t xml:space="preserve">.  </w:t>
      </w:r>
      <w:r w:rsidR="005813A5">
        <w:rPr>
          <w:color w:val="000000" w:themeColor="text1"/>
        </w:rPr>
        <w:t>See Sample worksheet #1 below.  T</w:t>
      </w:r>
      <w:r w:rsidRPr="001A04E9">
        <w:rPr>
          <w:color w:val="000000" w:themeColor="text1"/>
        </w:rPr>
        <w:t xml:space="preserve">hroughout the course students will be thinking about different patterns in data and how that applies to many </w:t>
      </w:r>
      <w:proofErr w:type="gramStart"/>
      <w:r w:rsidRPr="001A04E9">
        <w:rPr>
          <w:color w:val="000000" w:themeColor="text1"/>
        </w:rPr>
        <w:t>real world</w:t>
      </w:r>
      <w:proofErr w:type="gramEnd"/>
      <w:r w:rsidRPr="001A04E9">
        <w:rPr>
          <w:color w:val="000000" w:themeColor="text1"/>
        </w:rPr>
        <w:t xml:space="preserve"> data sets.  They will need to analyze the patterns they see to be able to pick an appropriate model.  Information is presented using tables, graphs, words, and </w:t>
      </w:r>
      <w:r w:rsidRPr="001A04E9">
        <w:rPr>
          <w:color w:val="000000" w:themeColor="text1"/>
        </w:rPr>
        <w:lastRenderedPageBreak/>
        <w:t xml:space="preserve">equations and students learn to move from one mode of presentations to another.  As they discuss the meaning in context, students will need to make decisions about what makes sense in the context of the data. </w:t>
      </w:r>
    </w:p>
    <w:p w14:paraId="2C9B06CE" w14:textId="77777777" w:rsidR="001A04E9" w:rsidRPr="001A04E9" w:rsidRDefault="001A04E9" w:rsidP="001A04E9">
      <w:pPr>
        <w:rPr>
          <w:i/>
          <w:color w:val="FF0000"/>
        </w:rPr>
      </w:pPr>
      <w:r w:rsidRPr="001A04E9">
        <w:rPr>
          <w:i/>
          <w:color w:val="FF0000"/>
        </w:rPr>
        <w:t xml:space="preserve"> </w:t>
      </w:r>
    </w:p>
    <w:p w14:paraId="6D5AD956" w14:textId="41B81C8E" w:rsidR="003A1B08" w:rsidRPr="001A04E9" w:rsidRDefault="003A1B08" w:rsidP="001A04E9">
      <w:pPr>
        <w:rPr>
          <w:i/>
          <w:color w:val="FF0000"/>
        </w:rPr>
      </w:pPr>
    </w:p>
    <w:p w14:paraId="4F2C525F" w14:textId="1449415E" w:rsidR="00A05C00" w:rsidRDefault="000D6476" w:rsidP="003A1B08">
      <w:pPr>
        <w:rPr>
          <w:color w:val="000000" w:themeColor="text1"/>
          <w:u w:val="single"/>
        </w:rPr>
      </w:pPr>
      <w:r w:rsidRPr="000D6476">
        <w:rPr>
          <w:color w:val="000000" w:themeColor="text1"/>
          <w:u w:val="single"/>
        </w:rPr>
        <w:t>Problem/Project-based Learning</w:t>
      </w:r>
    </w:p>
    <w:p w14:paraId="7222382B" w14:textId="77777777" w:rsidR="000D6476" w:rsidRDefault="000D6476" w:rsidP="000D6476">
      <w:r w:rsidRPr="00F51390">
        <w:t>Transitional math instruction provides students with the mathematical knowledge and skills to meet their individualized college and career goals and to be successful in college-level math courses, while aligning with the Illinois Learning Standards.</w:t>
      </w:r>
      <w:r>
        <w:t xml:space="preserve"> These</w:t>
      </w:r>
      <w:r w:rsidRPr="00F51390">
        <w:t xml:space="preserve"> courses work to address the gaps in understanding by working on bigger problems, emphasizing problem-based learning and projects, communication, and integration of concepts, not just skill acquisition. Contexts used should be authentic whenever possible and apply to the student’s college or career path.</w:t>
      </w:r>
    </w:p>
    <w:p w14:paraId="33F17A70" w14:textId="416A8D95" w:rsidR="000D6476" w:rsidRPr="005C3710" w:rsidRDefault="005C3710" w:rsidP="000D6476">
      <w:pPr>
        <w:pStyle w:val="ListParagraph"/>
        <w:rPr>
          <w:color w:val="000000" w:themeColor="text1"/>
        </w:rPr>
      </w:pPr>
      <w:r w:rsidRPr="005C3710">
        <w:rPr>
          <w:color w:val="000000" w:themeColor="text1"/>
        </w:rPr>
        <w:t xml:space="preserve">Projects are offered </w:t>
      </w:r>
      <w:r w:rsidR="00BE4CCD" w:rsidRPr="005C3710">
        <w:rPr>
          <w:color w:val="000000" w:themeColor="text1"/>
        </w:rPr>
        <w:t>throughout</w:t>
      </w:r>
      <w:r w:rsidRPr="005C3710">
        <w:rPr>
          <w:color w:val="000000" w:themeColor="text1"/>
        </w:rPr>
        <w:t xml:space="preserve"> the textbook and supplemented with the following websites:</w:t>
      </w:r>
    </w:p>
    <w:p w14:paraId="19A71E33" w14:textId="77777777" w:rsidR="006A6BFA" w:rsidRDefault="00F0557B" w:rsidP="006A6BFA">
      <w:hyperlink r:id="rId7" w:history="1">
        <w:r w:rsidR="006A6BFA">
          <w:rPr>
            <w:rStyle w:val="Hyperlink"/>
          </w:rPr>
          <w:t>http://www.mathalicious.com/</w:t>
        </w:r>
      </w:hyperlink>
    </w:p>
    <w:p w14:paraId="3B166188" w14:textId="77777777" w:rsidR="006A6BFA" w:rsidRDefault="00F0557B" w:rsidP="006A6BFA">
      <w:hyperlink r:id="rId8" w:history="1">
        <w:r w:rsidR="006A6BFA">
          <w:rPr>
            <w:rStyle w:val="Hyperlink"/>
          </w:rPr>
          <w:t>https://ioer.ilsharedlearning.org/Library/5591/PWR_Transitional_Math</w:t>
        </w:r>
      </w:hyperlink>
    </w:p>
    <w:p w14:paraId="2D7601EE" w14:textId="77777777" w:rsidR="006A6BFA" w:rsidRDefault="00F0557B" w:rsidP="006A6BFA">
      <w:hyperlink r:id="rId9" w:history="1">
        <w:r w:rsidR="006A6BFA">
          <w:rPr>
            <w:rStyle w:val="Hyperlink"/>
          </w:rPr>
          <w:t>https://www.sreb.org/math-ready</w:t>
        </w:r>
      </w:hyperlink>
    </w:p>
    <w:p w14:paraId="2BCFDF1A" w14:textId="77777777" w:rsidR="006A6BFA" w:rsidRDefault="00F0557B" w:rsidP="006A6BFA">
      <w:hyperlink r:id="rId10" w:history="1">
        <w:r w:rsidR="006A6BFA">
          <w:rPr>
            <w:rStyle w:val="Hyperlink"/>
          </w:rPr>
          <w:t>https://www.map.mathshell.org/</w:t>
        </w:r>
      </w:hyperlink>
    </w:p>
    <w:p w14:paraId="18DFFAF6" w14:textId="1893011D" w:rsidR="006A6BFA" w:rsidRDefault="00F0557B" w:rsidP="006A6BFA">
      <w:pPr>
        <w:rPr>
          <w:rStyle w:val="Hyperlink"/>
        </w:rPr>
      </w:pPr>
      <w:hyperlink r:id="rId11" w:history="1">
        <w:r w:rsidR="006A6BFA">
          <w:rPr>
            <w:rStyle w:val="Hyperlink"/>
          </w:rPr>
          <w:t>https://teacher.desmos.com/</w:t>
        </w:r>
      </w:hyperlink>
    </w:p>
    <w:p w14:paraId="5A9E61D1" w14:textId="4DFA0191" w:rsidR="000813E3" w:rsidRDefault="000813E3" w:rsidP="006A6BFA">
      <w:pPr>
        <w:rPr>
          <w:rStyle w:val="Hyperlink"/>
        </w:rPr>
      </w:pPr>
    </w:p>
    <w:p w14:paraId="0B1AFA0F" w14:textId="3AC8E7D5" w:rsidR="000813E3" w:rsidRDefault="000813E3" w:rsidP="006A6BFA">
      <w:pPr>
        <w:rPr>
          <w:color w:val="000000" w:themeColor="text1"/>
        </w:rPr>
      </w:pPr>
      <w:r w:rsidRPr="000813E3">
        <w:rPr>
          <w:rStyle w:val="Hyperlink"/>
          <w:color w:val="000000" w:themeColor="text1"/>
          <w:u w:val="none"/>
        </w:rPr>
        <w:t>Comparing Fuel Consumption Sample</w:t>
      </w:r>
      <w:r w:rsidR="0075660C">
        <w:rPr>
          <w:rStyle w:val="Hyperlink"/>
          <w:color w:val="000000" w:themeColor="text1"/>
          <w:u w:val="none"/>
        </w:rPr>
        <w:t xml:space="preserve"> #2</w:t>
      </w:r>
      <w:r w:rsidR="0075660C">
        <w:rPr>
          <w:rStyle w:val="Hyperlink"/>
          <w:color w:val="000000" w:themeColor="text1"/>
          <w:u w:val="none"/>
        </w:rPr>
        <w:br/>
      </w:r>
      <w:hyperlink r:id="rId12" w:history="1">
        <w:r w:rsidR="0075660C" w:rsidRPr="007C7CBD">
          <w:rPr>
            <w:rStyle w:val="Hyperlink"/>
          </w:rPr>
          <w:t>https://www.map.mathshell.org/download.php?fileid=1674</w:t>
        </w:r>
      </w:hyperlink>
    </w:p>
    <w:p w14:paraId="638843C0" w14:textId="77777777" w:rsidR="0075660C" w:rsidRPr="000813E3" w:rsidRDefault="0075660C" w:rsidP="006A6BFA">
      <w:pPr>
        <w:rPr>
          <w:color w:val="000000" w:themeColor="text1"/>
        </w:rPr>
      </w:pPr>
    </w:p>
    <w:p w14:paraId="63AB6191" w14:textId="20579071" w:rsidR="006A6BFA" w:rsidRDefault="006A6BFA" w:rsidP="006A6BFA"/>
    <w:p w14:paraId="355C759E" w14:textId="77777777" w:rsidR="005C3710" w:rsidRPr="005C3710" w:rsidRDefault="005C3710" w:rsidP="000D6476">
      <w:pPr>
        <w:pStyle w:val="ListParagraph"/>
        <w:rPr>
          <w:color w:val="000000" w:themeColor="text1"/>
        </w:rPr>
      </w:pPr>
    </w:p>
    <w:p w14:paraId="58CE4A5E" w14:textId="4345A1B8" w:rsidR="005813A5" w:rsidRDefault="005813A5" w:rsidP="000D6476">
      <w:pPr>
        <w:pStyle w:val="ListParagraph"/>
        <w:rPr>
          <w:color w:val="FF0000"/>
        </w:rPr>
      </w:pPr>
    </w:p>
    <w:p w14:paraId="57AB73FF" w14:textId="66C38B72" w:rsidR="005813A5" w:rsidRDefault="005813A5" w:rsidP="005813A5">
      <w:r>
        <w:t>Sample worksheet #1, where an Excel spreadsheet is utilized to solve each problem.  The spreadsheet is manipulated slightly and amended for each different problem.  The sp</w:t>
      </w:r>
      <w:r w:rsidR="005E67BA">
        <w:t>r</w:t>
      </w:r>
      <w:r>
        <w:t>eadsheet is finally amended in such a way that it becomes user friendly for anyone needing to input different rates, times, and increases.</w:t>
      </w:r>
    </w:p>
    <w:p w14:paraId="20C53973" w14:textId="2E3095B2" w:rsidR="005813A5" w:rsidRDefault="005813A5" w:rsidP="005813A5">
      <w:r>
        <w:t xml:space="preserve">Unit 3   Rituxan </w:t>
      </w:r>
      <w:r w:rsidR="005E67BA">
        <w:t>Infusion</w:t>
      </w:r>
      <w:r>
        <w:tab/>
        <w:t>Name(s)_______________________________________</w:t>
      </w:r>
      <w:r>
        <w:tab/>
        <w:t>Hour ________</w:t>
      </w:r>
    </w:p>
    <w:p w14:paraId="4939BFE7" w14:textId="77777777" w:rsidR="005813A5" w:rsidRDefault="005813A5" w:rsidP="005813A5"/>
    <w:p w14:paraId="4783D390" w14:textId="002A7984" w:rsidR="005813A5" w:rsidRDefault="005813A5" w:rsidP="005813A5">
      <w:r>
        <w:t xml:space="preserve">1.   1000 mL of Rituxan is to be </w:t>
      </w:r>
      <w:r w:rsidR="005E67BA">
        <w:t>infused</w:t>
      </w:r>
      <w:r>
        <w:t xml:space="preserve"> into a patient’s IV over time.  The patient will </w:t>
      </w:r>
      <w:r w:rsidR="005E67BA">
        <w:t>receive</w:t>
      </w:r>
      <w:r>
        <w:t xml:space="preserve"> 25 mL/</w:t>
      </w:r>
      <w:proofErr w:type="spellStart"/>
      <w:r>
        <w:t>Hr</w:t>
      </w:r>
      <w:proofErr w:type="spellEnd"/>
      <w:r>
        <w:t xml:space="preserve"> for the first 30 minutes and then increase 12.5 mL/</w:t>
      </w:r>
      <w:proofErr w:type="spellStart"/>
      <w:r>
        <w:t>Hr</w:t>
      </w:r>
      <w:proofErr w:type="spellEnd"/>
      <w:r>
        <w:t xml:space="preserve"> every 30 minutes thereafter.  How long </w:t>
      </w:r>
      <w:r w:rsidR="005E67BA">
        <w:t>will</w:t>
      </w:r>
      <w:r>
        <w:t xml:space="preserve"> it take to empty the bag?</w:t>
      </w:r>
    </w:p>
    <w:p w14:paraId="27582291" w14:textId="77777777" w:rsidR="005813A5" w:rsidRDefault="005813A5" w:rsidP="005813A5"/>
    <w:p w14:paraId="7B32D3B0" w14:textId="77777777" w:rsidR="005813A5" w:rsidRDefault="005813A5" w:rsidP="005813A5"/>
    <w:p w14:paraId="67EFFDEC" w14:textId="77777777" w:rsidR="005813A5" w:rsidRDefault="005813A5" w:rsidP="005813A5"/>
    <w:p w14:paraId="7CED31A7" w14:textId="36BA0F82" w:rsidR="005813A5" w:rsidRDefault="005813A5" w:rsidP="005813A5">
      <w:r>
        <w:t xml:space="preserve">2.  1000 mL of Rituxan is to be </w:t>
      </w:r>
      <w:r w:rsidR="005E67BA">
        <w:t>infused</w:t>
      </w:r>
      <w:r>
        <w:t xml:space="preserve"> into a patient’s IV over time.  The patient will </w:t>
      </w:r>
      <w:r w:rsidR="005E67BA">
        <w:t>receive</w:t>
      </w:r>
      <w:r>
        <w:t xml:space="preserve"> 25 mL/</w:t>
      </w:r>
      <w:proofErr w:type="spellStart"/>
      <w:r>
        <w:t>Hr</w:t>
      </w:r>
      <w:proofErr w:type="spellEnd"/>
      <w:r>
        <w:t xml:space="preserve"> for the first 60 minutes and then increase 12.5 mL/</w:t>
      </w:r>
      <w:proofErr w:type="spellStart"/>
      <w:r>
        <w:t>Hr</w:t>
      </w:r>
      <w:proofErr w:type="spellEnd"/>
      <w:r>
        <w:t xml:space="preserve"> every 60 minutes thereafter.  How long </w:t>
      </w:r>
      <w:r w:rsidR="005E67BA">
        <w:t>will</w:t>
      </w:r>
      <w:r>
        <w:t xml:space="preserve"> it take to empty the bag?</w:t>
      </w:r>
    </w:p>
    <w:p w14:paraId="3296DB97" w14:textId="77777777" w:rsidR="005813A5" w:rsidRDefault="005813A5" w:rsidP="005813A5"/>
    <w:p w14:paraId="6072F683" w14:textId="77777777" w:rsidR="005813A5" w:rsidRDefault="005813A5" w:rsidP="005813A5"/>
    <w:p w14:paraId="3567E472" w14:textId="77777777" w:rsidR="005813A5" w:rsidRDefault="005813A5" w:rsidP="005813A5"/>
    <w:p w14:paraId="6DB3AF9F" w14:textId="062C0A69" w:rsidR="005813A5" w:rsidRDefault="005813A5" w:rsidP="005813A5">
      <w:r>
        <w:t>3.</w:t>
      </w:r>
      <w:r w:rsidRPr="002F2EA7">
        <w:t xml:space="preserve"> </w:t>
      </w:r>
      <w:r>
        <w:t xml:space="preserve">2000 mL of Rituxan is to be </w:t>
      </w:r>
      <w:r w:rsidR="005E67BA">
        <w:t>infused</w:t>
      </w:r>
      <w:r>
        <w:t xml:space="preserve"> into a patient’s IV over time.  The patient will </w:t>
      </w:r>
      <w:r w:rsidR="005E67BA">
        <w:t>receive</w:t>
      </w:r>
      <w:r>
        <w:t xml:space="preserve"> 25 mL/</w:t>
      </w:r>
      <w:proofErr w:type="spellStart"/>
      <w:r>
        <w:t>Hr</w:t>
      </w:r>
      <w:proofErr w:type="spellEnd"/>
      <w:r>
        <w:t xml:space="preserve"> for the first 30 minutes and then increase 12.5 mL/</w:t>
      </w:r>
      <w:proofErr w:type="spellStart"/>
      <w:r>
        <w:t>Hr</w:t>
      </w:r>
      <w:proofErr w:type="spellEnd"/>
      <w:r>
        <w:t xml:space="preserve"> every 30 minutes thereafter.  How long wi</w:t>
      </w:r>
      <w:r w:rsidR="005E67BA">
        <w:t>l</w:t>
      </w:r>
      <w:r>
        <w:t>l it take to empty the bag?</w:t>
      </w:r>
    </w:p>
    <w:p w14:paraId="2165482C" w14:textId="77777777" w:rsidR="005813A5" w:rsidRDefault="005813A5" w:rsidP="005813A5"/>
    <w:p w14:paraId="458E788E" w14:textId="77777777" w:rsidR="005813A5" w:rsidRDefault="005813A5" w:rsidP="005813A5"/>
    <w:p w14:paraId="05B3BEC0" w14:textId="77777777" w:rsidR="005813A5" w:rsidRDefault="005813A5" w:rsidP="005813A5"/>
    <w:p w14:paraId="5BA97316" w14:textId="5B684D05" w:rsidR="005813A5" w:rsidRDefault="005813A5" w:rsidP="005813A5">
      <w:r>
        <w:t xml:space="preserve">4. 1000 mL of Rituxan is to be </w:t>
      </w:r>
      <w:r w:rsidR="005E67BA">
        <w:t>infused</w:t>
      </w:r>
      <w:r>
        <w:t xml:space="preserve"> into a patient’s IV over time.  The patient will </w:t>
      </w:r>
      <w:r w:rsidR="005E67BA">
        <w:t>receive</w:t>
      </w:r>
      <w:r>
        <w:t xml:space="preserve"> 50 mL/</w:t>
      </w:r>
      <w:proofErr w:type="spellStart"/>
      <w:r>
        <w:t>Hr</w:t>
      </w:r>
      <w:proofErr w:type="spellEnd"/>
      <w:r>
        <w:t xml:space="preserve"> for the first 30 minutes and then increase 25 mL/</w:t>
      </w:r>
      <w:proofErr w:type="spellStart"/>
      <w:r>
        <w:t>Hr</w:t>
      </w:r>
      <w:proofErr w:type="spellEnd"/>
      <w:r>
        <w:t xml:space="preserve"> every 30 minutes thereafter.  How long </w:t>
      </w:r>
      <w:r w:rsidR="005E67BA">
        <w:t>will</w:t>
      </w:r>
      <w:r>
        <w:t xml:space="preserve"> it take to empty the bag?</w:t>
      </w:r>
    </w:p>
    <w:p w14:paraId="0EB0FAB2" w14:textId="77777777" w:rsidR="005813A5" w:rsidRDefault="005813A5" w:rsidP="005813A5"/>
    <w:p w14:paraId="368E4120" w14:textId="77777777" w:rsidR="005813A5" w:rsidRDefault="005813A5" w:rsidP="005813A5"/>
    <w:p w14:paraId="0A6546E3" w14:textId="77777777" w:rsidR="005813A5" w:rsidRDefault="005813A5" w:rsidP="005813A5"/>
    <w:p w14:paraId="6A5D3945" w14:textId="70EC57FB" w:rsidR="005813A5" w:rsidRDefault="005813A5" w:rsidP="005813A5">
      <w:r>
        <w:t xml:space="preserve">5.  1000 mL of Rituxan is to be </w:t>
      </w:r>
      <w:r w:rsidR="005E67BA">
        <w:t>infused</w:t>
      </w:r>
      <w:r>
        <w:t xml:space="preserve"> into a patient’s IV over time.  The patient will </w:t>
      </w:r>
      <w:r w:rsidR="005E67BA">
        <w:t>receive</w:t>
      </w:r>
      <w:r>
        <w:t xml:space="preserve"> 25 mL/</w:t>
      </w:r>
      <w:proofErr w:type="spellStart"/>
      <w:r>
        <w:t>Hr</w:t>
      </w:r>
      <w:proofErr w:type="spellEnd"/>
      <w:r>
        <w:t xml:space="preserve"> for the first 30 minutes and then increase 12.5 mL/</w:t>
      </w:r>
      <w:proofErr w:type="spellStart"/>
      <w:r>
        <w:t>Hr</w:t>
      </w:r>
      <w:proofErr w:type="spellEnd"/>
      <w:r>
        <w:t xml:space="preserve"> every 30 minutes thereafter.  Once the patient reaches the 100 mL/</w:t>
      </w:r>
      <w:proofErr w:type="spellStart"/>
      <w:r>
        <w:t>Hr</w:t>
      </w:r>
      <w:proofErr w:type="spellEnd"/>
      <w:r>
        <w:t xml:space="preserve"> rate, the rate will not increase any more.  How long </w:t>
      </w:r>
      <w:r w:rsidR="005E67BA">
        <w:t>will</w:t>
      </w:r>
      <w:r>
        <w:t xml:space="preserve"> it take to empty the bag?</w:t>
      </w:r>
    </w:p>
    <w:p w14:paraId="156AFEDC" w14:textId="77777777" w:rsidR="005813A5" w:rsidRDefault="005813A5" w:rsidP="005813A5"/>
    <w:p w14:paraId="44BFFBE3" w14:textId="77777777" w:rsidR="005813A5" w:rsidRDefault="005813A5" w:rsidP="005813A5"/>
    <w:p w14:paraId="142F15A0" w14:textId="77777777" w:rsidR="005813A5" w:rsidRDefault="005813A5" w:rsidP="005813A5"/>
    <w:p w14:paraId="6D5D4CA6" w14:textId="7CC2403E" w:rsidR="005813A5" w:rsidRDefault="005813A5" w:rsidP="005813A5">
      <w:r>
        <w:t xml:space="preserve">6.  1000 mL of Rituxan is to be </w:t>
      </w:r>
      <w:r w:rsidR="005E67BA">
        <w:t>infused</w:t>
      </w:r>
      <w:r>
        <w:t xml:space="preserve"> into a patient’s IV over time.  The patient will </w:t>
      </w:r>
      <w:r w:rsidR="005E67BA">
        <w:t>receive</w:t>
      </w:r>
      <w:r>
        <w:t xml:space="preserve"> 10 mL/</w:t>
      </w:r>
      <w:proofErr w:type="spellStart"/>
      <w:r>
        <w:t>Hr</w:t>
      </w:r>
      <w:proofErr w:type="spellEnd"/>
      <w:r>
        <w:t xml:space="preserve"> for the first 30 minutes and then increase 10 mL/</w:t>
      </w:r>
      <w:proofErr w:type="spellStart"/>
      <w:r>
        <w:t>Hr</w:t>
      </w:r>
      <w:proofErr w:type="spellEnd"/>
      <w:r>
        <w:t xml:space="preserve"> every 30 minutes thereafter.  How long </w:t>
      </w:r>
      <w:r w:rsidR="005E67BA">
        <w:t>will</w:t>
      </w:r>
      <w:r>
        <w:t xml:space="preserve"> it take to empty the bag?</w:t>
      </w:r>
    </w:p>
    <w:p w14:paraId="2F527EFB" w14:textId="77777777" w:rsidR="005813A5" w:rsidRDefault="005813A5" w:rsidP="005813A5"/>
    <w:p w14:paraId="0ADE34A2" w14:textId="77777777" w:rsidR="005813A5" w:rsidRDefault="005813A5" w:rsidP="005813A5"/>
    <w:p w14:paraId="4EC00602" w14:textId="2B7777A6" w:rsidR="005813A5" w:rsidRDefault="005813A5" w:rsidP="005813A5">
      <w:r>
        <w:lastRenderedPageBreak/>
        <w:t xml:space="preserve">7. 1000 mL of Rituxan is to be </w:t>
      </w:r>
      <w:r w:rsidR="005E67BA">
        <w:t>infused</w:t>
      </w:r>
      <w:r>
        <w:t xml:space="preserve"> into a patient’s IV over time.  The patient will </w:t>
      </w:r>
      <w:r w:rsidR="005E67BA">
        <w:t>receive</w:t>
      </w:r>
      <w:r>
        <w:t xml:space="preserve"> 10 mL/</w:t>
      </w:r>
      <w:proofErr w:type="spellStart"/>
      <w:r>
        <w:t>Hr</w:t>
      </w:r>
      <w:proofErr w:type="spellEnd"/>
      <w:r>
        <w:t xml:space="preserve"> for the first 30 minutes and then increase 10 mL/</w:t>
      </w:r>
      <w:proofErr w:type="spellStart"/>
      <w:r>
        <w:t>Hr</w:t>
      </w:r>
      <w:proofErr w:type="spellEnd"/>
      <w:r>
        <w:t xml:space="preserve"> every 60 minutes thereafter.  How long </w:t>
      </w:r>
      <w:r w:rsidR="005E67BA">
        <w:t>will</w:t>
      </w:r>
      <w:r>
        <w:t xml:space="preserve"> it take to empty the bag?</w:t>
      </w:r>
    </w:p>
    <w:p w14:paraId="37B35145" w14:textId="77777777" w:rsidR="005813A5" w:rsidRDefault="005813A5" w:rsidP="005813A5"/>
    <w:p w14:paraId="75419609" w14:textId="77777777" w:rsidR="005813A5" w:rsidRDefault="005813A5" w:rsidP="005813A5"/>
    <w:p w14:paraId="7025CC88" w14:textId="746FD344" w:rsidR="005813A5" w:rsidRDefault="005813A5" w:rsidP="005813A5">
      <w:r>
        <w:t xml:space="preserve">8.  1000 mL of Rituxan is to be </w:t>
      </w:r>
      <w:r w:rsidR="005E67BA">
        <w:t>infused</w:t>
      </w:r>
      <w:r>
        <w:t xml:space="preserve"> into a patient’s IV over time.  The patient will </w:t>
      </w:r>
      <w:r w:rsidR="005E67BA">
        <w:t>receive</w:t>
      </w:r>
      <w:r>
        <w:t xml:space="preserve"> 100 mL/</w:t>
      </w:r>
      <w:proofErr w:type="spellStart"/>
      <w:r>
        <w:t>Hr</w:t>
      </w:r>
      <w:proofErr w:type="spellEnd"/>
      <w:r>
        <w:t xml:space="preserve"> for the first 30 minutes and then increase 20 mL/</w:t>
      </w:r>
      <w:proofErr w:type="spellStart"/>
      <w:r>
        <w:t>Hr</w:t>
      </w:r>
      <w:proofErr w:type="spellEnd"/>
      <w:r>
        <w:t xml:space="preserve"> every 30 minutes thereafter.  How long </w:t>
      </w:r>
      <w:r w:rsidR="005E67BA">
        <w:t>will</w:t>
      </w:r>
      <w:r>
        <w:t xml:space="preserve"> it take to empty the bag?</w:t>
      </w:r>
    </w:p>
    <w:p w14:paraId="75246195" w14:textId="77777777" w:rsidR="005813A5" w:rsidRDefault="005813A5" w:rsidP="005813A5"/>
    <w:p w14:paraId="68BF8532" w14:textId="77777777" w:rsidR="005813A5" w:rsidRDefault="005813A5" w:rsidP="005813A5"/>
    <w:p w14:paraId="1665AD94" w14:textId="72E86570" w:rsidR="005813A5" w:rsidRDefault="005813A5" w:rsidP="005813A5">
      <w:r>
        <w:t xml:space="preserve">9.  1000 mL of Rituxan is to be </w:t>
      </w:r>
      <w:r w:rsidR="005E67BA">
        <w:t>infused</w:t>
      </w:r>
      <w:r>
        <w:t xml:space="preserve"> into a patient’s IV over time.  The patient will </w:t>
      </w:r>
      <w:r w:rsidR="005E67BA">
        <w:t>receive</w:t>
      </w:r>
      <w:r>
        <w:t xml:space="preserve"> 25 mL/</w:t>
      </w:r>
      <w:proofErr w:type="spellStart"/>
      <w:r>
        <w:t>Hr</w:t>
      </w:r>
      <w:proofErr w:type="spellEnd"/>
      <w:r>
        <w:t xml:space="preserve"> for the first 30 minutes and then increase 12.5 mL/</w:t>
      </w:r>
      <w:proofErr w:type="spellStart"/>
      <w:r>
        <w:t>Hr</w:t>
      </w:r>
      <w:proofErr w:type="spellEnd"/>
      <w:r>
        <w:t xml:space="preserve"> every 30 minutes thereafter.  However, the nurse forgets to increase the rate.   The patient is stuck at 12.5 mL/</w:t>
      </w:r>
      <w:proofErr w:type="spellStart"/>
      <w:r>
        <w:t>Hr</w:t>
      </w:r>
      <w:proofErr w:type="spellEnd"/>
      <w:r>
        <w:t xml:space="preserve"> for the entire time.  How long </w:t>
      </w:r>
      <w:r w:rsidR="005E67BA">
        <w:t>will</w:t>
      </w:r>
      <w:r>
        <w:t xml:space="preserve"> it take to empty the bag?</w:t>
      </w:r>
    </w:p>
    <w:p w14:paraId="5CF236FD" w14:textId="77777777" w:rsidR="005813A5" w:rsidRDefault="005813A5" w:rsidP="005813A5"/>
    <w:p w14:paraId="53346CFD" w14:textId="77777777" w:rsidR="005813A5" w:rsidRDefault="005813A5" w:rsidP="005813A5"/>
    <w:p w14:paraId="1D460107" w14:textId="4DC6F628" w:rsidR="005813A5" w:rsidRDefault="005813A5" w:rsidP="005813A5">
      <w:r>
        <w:t xml:space="preserve">10.  1000 mL of Rituxan is to be </w:t>
      </w:r>
      <w:r w:rsidR="005E67BA">
        <w:t>infused</w:t>
      </w:r>
      <w:r>
        <w:t xml:space="preserve"> into a patient’s IV over time.  The patient will </w:t>
      </w:r>
      <w:r w:rsidR="005E67BA">
        <w:t>receive</w:t>
      </w:r>
      <w:r>
        <w:t xml:space="preserve"> 25 mL/</w:t>
      </w:r>
      <w:proofErr w:type="spellStart"/>
      <w:r>
        <w:t>Hr</w:t>
      </w:r>
      <w:proofErr w:type="spellEnd"/>
      <w:r>
        <w:t xml:space="preserve"> for the first 30 minutes and then increase 12.5 mL/</w:t>
      </w:r>
      <w:proofErr w:type="spellStart"/>
      <w:r>
        <w:t>Hr</w:t>
      </w:r>
      <w:proofErr w:type="spellEnd"/>
      <w:r>
        <w:t xml:space="preserve"> every 30 minutes thereafter.  However, the nurse forgets to increase the rate.   The patient is stuck at 12.5 mL/</w:t>
      </w:r>
      <w:proofErr w:type="spellStart"/>
      <w:r>
        <w:t>Hr</w:t>
      </w:r>
      <w:proofErr w:type="spellEnd"/>
      <w:r>
        <w:t xml:space="preserve"> for the first hour and then the nurse increase</w:t>
      </w:r>
      <w:r w:rsidR="005E67BA">
        <w:t>d</w:t>
      </w:r>
      <w:r>
        <w:t xml:space="preserve"> the dose as planned.  How long </w:t>
      </w:r>
      <w:r w:rsidR="005E67BA">
        <w:t>will</w:t>
      </w:r>
      <w:r>
        <w:t xml:space="preserve"> it take to empty the bag?</w:t>
      </w:r>
    </w:p>
    <w:p w14:paraId="1BAA8DCD" w14:textId="77777777" w:rsidR="005813A5" w:rsidRDefault="005813A5" w:rsidP="005813A5"/>
    <w:p w14:paraId="790EA7B8" w14:textId="77777777" w:rsidR="005813A5" w:rsidRDefault="005813A5" w:rsidP="005813A5"/>
    <w:p w14:paraId="42452B2A" w14:textId="19FEDCFB" w:rsidR="005813A5" w:rsidRDefault="005813A5" w:rsidP="005813A5">
      <w:r>
        <w:t xml:space="preserve">11.  1000 mL of Rituxan is to be </w:t>
      </w:r>
      <w:r w:rsidR="005E67BA">
        <w:t>infused</w:t>
      </w:r>
      <w:r>
        <w:t xml:space="preserve"> into a patient’s IV over time.  The patient will </w:t>
      </w:r>
      <w:r w:rsidR="005E67BA">
        <w:t>receive</w:t>
      </w:r>
      <w:r>
        <w:t xml:space="preserve"> 25 mL/</w:t>
      </w:r>
      <w:proofErr w:type="spellStart"/>
      <w:r>
        <w:t>Hr</w:t>
      </w:r>
      <w:proofErr w:type="spellEnd"/>
      <w:r>
        <w:t xml:space="preserve"> for the first 30 minutes and then increase 12.5 mL/</w:t>
      </w:r>
      <w:proofErr w:type="spellStart"/>
      <w:r>
        <w:t>Hr</w:t>
      </w:r>
      <w:proofErr w:type="spellEnd"/>
      <w:r>
        <w:t xml:space="preserve"> every 30 minutes thereafter.  The patient begins </w:t>
      </w:r>
      <w:r w:rsidR="005E67BA">
        <w:t>vomiting</w:t>
      </w:r>
      <w:r>
        <w:t xml:space="preserve"> two hours and 10 minutes into the treatment.  Therefore</w:t>
      </w:r>
      <w:r w:rsidR="005E67BA">
        <w:t>,</w:t>
      </w:r>
      <w:r>
        <w:t xml:space="preserve"> the nurse must maintain the current rate until the bag is empty.  How long </w:t>
      </w:r>
      <w:r w:rsidR="005E67BA">
        <w:t>will</w:t>
      </w:r>
      <w:r>
        <w:t xml:space="preserve"> it take to empty the bag?</w:t>
      </w:r>
    </w:p>
    <w:p w14:paraId="7295C4B2" w14:textId="77777777" w:rsidR="005813A5" w:rsidRDefault="005813A5" w:rsidP="005813A5"/>
    <w:p w14:paraId="76A7C3B7" w14:textId="77777777" w:rsidR="005813A5" w:rsidRDefault="005813A5" w:rsidP="005813A5"/>
    <w:p w14:paraId="1D0C48C8" w14:textId="77777777" w:rsidR="005813A5" w:rsidRDefault="005813A5" w:rsidP="005813A5"/>
    <w:p w14:paraId="4B20D017" w14:textId="5B096AF8" w:rsidR="005813A5" w:rsidRPr="000D6476" w:rsidRDefault="005813A5" w:rsidP="005E67BA">
      <w:pPr>
        <w:rPr>
          <w:color w:val="FF0000"/>
        </w:rPr>
      </w:pPr>
      <w:r>
        <w:t xml:space="preserve">12.  1000 mL of Rituxan is to be </w:t>
      </w:r>
      <w:r w:rsidR="005E67BA">
        <w:t>infused</w:t>
      </w:r>
      <w:r>
        <w:t xml:space="preserve"> into a patient’s IV over time.  The patient will </w:t>
      </w:r>
      <w:r w:rsidR="005E67BA">
        <w:t>receive</w:t>
      </w:r>
      <w:r>
        <w:t xml:space="preserve"> 25 mL/</w:t>
      </w:r>
      <w:proofErr w:type="spellStart"/>
      <w:r>
        <w:t>Hr</w:t>
      </w:r>
      <w:proofErr w:type="spellEnd"/>
      <w:r>
        <w:t xml:space="preserve"> for the first 30 minutes and then increase 12.5 mL/</w:t>
      </w:r>
      <w:proofErr w:type="spellStart"/>
      <w:r>
        <w:t>Hr</w:t>
      </w:r>
      <w:proofErr w:type="spellEnd"/>
      <w:r>
        <w:t xml:space="preserve"> every 30 minutes thereafter.  The nurse misreads the directions and increases the rate 125 mL/</w:t>
      </w:r>
      <w:proofErr w:type="spellStart"/>
      <w:r>
        <w:t>Hr</w:t>
      </w:r>
      <w:proofErr w:type="spellEnd"/>
      <w:r>
        <w:t xml:space="preserve"> ev</w:t>
      </w:r>
      <w:r w:rsidR="005E67BA">
        <w:t>e</w:t>
      </w:r>
      <w:r>
        <w:t xml:space="preserve">ry 30 minutes.  How long </w:t>
      </w:r>
      <w:r w:rsidR="005E67BA">
        <w:t>will</w:t>
      </w:r>
      <w:r>
        <w:t xml:space="preserve"> it take to empty the bag?</w:t>
      </w:r>
    </w:p>
    <w:sectPr w:rsidR="005813A5" w:rsidRPr="000D6476" w:rsidSect="000D6476">
      <w:headerReference w:type="default" r:id="rId13"/>
      <w:footerReference w:type="default" r:id="rId14"/>
      <w:pgSz w:w="12240" w:h="15840"/>
      <w:pgMar w:top="1440" w:right="1440" w:bottom="1440" w:left="1440" w:header="720" w:footer="3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7C6C7" w14:textId="77777777" w:rsidR="00F0557B" w:rsidRDefault="00F0557B" w:rsidP="00C40531">
      <w:pPr>
        <w:spacing w:after="0" w:line="240" w:lineRule="auto"/>
      </w:pPr>
      <w:r>
        <w:separator/>
      </w:r>
    </w:p>
  </w:endnote>
  <w:endnote w:type="continuationSeparator" w:id="0">
    <w:p w14:paraId="36DABEF1" w14:textId="77777777" w:rsidR="00F0557B" w:rsidRDefault="00F0557B" w:rsidP="00C40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7483863"/>
      <w:docPartObj>
        <w:docPartGallery w:val="Page Numbers (Bottom of Page)"/>
        <w:docPartUnique/>
      </w:docPartObj>
    </w:sdtPr>
    <w:sdtEndPr>
      <w:rPr>
        <w:noProof/>
      </w:rPr>
    </w:sdtEndPr>
    <w:sdtContent>
      <w:p w14:paraId="66F735A2" w14:textId="2E006F84" w:rsidR="000D6476" w:rsidRDefault="000D6476">
        <w:pPr>
          <w:pStyle w:val="Footer"/>
        </w:pPr>
        <w:r>
          <w:fldChar w:fldCharType="begin"/>
        </w:r>
        <w:r>
          <w:instrText xml:space="preserve"> PAGE   \* MERGEFORMAT </w:instrText>
        </w:r>
        <w:r>
          <w:fldChar w:fldCharType="separate"/>
        </w:r>
        <w:r w:rsidR="00B307AD">
          <w:rPr>
            <w:noProof/>
          </w:rPr>
          <w:t>1</w:t>
        </w:r>
        <w:r>
          <w:rPr>
            <w:noProof/>
          </w:rPr>
          <w:fldChar w:fldCharType="end"/>
        </w:r>
      </w:p>
    </w:sdtContent>
  </w:sdt>
  <w:p w14:paraId="4D47045E" w14:textId="77777777" w:rsidR="000D6476" w:rsidRDefault="000D6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942DA" w14:textId="77777777" w:rsidR="00F0557B" w:rsidRDefault="00F0557B" w:rsidP="00C40531">
      <w:pPr>
        <w:spacing w:after="0" w:line="240" w:lineRule="auto"/>
      </w:pPr>
      <w:r>
        <w:separator/>
      </w:r>
    </w:p>
  </w:footnote>
  <w:footnote w:type="continuationSeparator" w:id="0">
    <w:p w14:paraId="1ED4C612" w14:textId="77777777" w:rsidR="00F0557B" w:rsidRDefault="00F0557B" w:rsidP="00C40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E3F22" w14:textId="45D01457" w:rsidR="00C40531" w:rsidRDefault="00C40531">
    <w:pPr>
      <w:pStyle w:val="Header"/>
    </w:pPr>
    <w:r>
      <w:rPr>
        <w:noProof/>
      </w:rPr>
      <w:drawing>
        <wp:anchor distT="0" distB="0" distL="114300" distR="114300" simplePos="0" relativeHeight="251661312" behindDoc="0" locked="0" layoutInCell="1" allowOverlap="1" wp14:anchorId="10C2C416" wp14:editId="374752F4">
          <wp:simplePos x="0" y="0"/>
          <wp:positionH relativeFrom="column">
            <wp:posOffset>4533900</wp:posOffset>
          </wp:positionH>
          <wp:positionV relativeFrom="paragraph">
            <wp:posOffset>-412750</wp:posOffset>
          </wp:positionV>
          <wp:extent cx="1390650" cy="920411"/>
          <wp:effectExtent l="0" t="0" r="0" b="0"/>
          <wp:wrapNone/>
          <wp:docPr id="5" name="Picture 5" descr="Image result for ic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result for iccb"/>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92041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30E4581" wp14:editId="47A31BC9">
          <wp:simplePos x="0" y="0"/>
          <wp:positionH relativeFrom="column">
            <wp:posOffset>133350</wp:posOffset>
          </wp:positionH>
          <wp:positionV relativeFrom="paragraph">
            <wp:posOffset>-224790</wp:posOffset>
          </wp:positionV>
          <wp:extent cx="1301750" cy="508453"/>
          <wp:effectExtent l="0" t="0" r="0" b="6350"/>
          <wp:wrapNone/>
          <wp:docPr id="6" name="Picture 6" descr="Illinois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llinois State Board of Education"/>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1750" cy="50845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07417"/>
    <w:multiLevelType w:val="hybridMultilevel"/>
    <w:tmpl w:val="0E26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B74"/>
    <w:rsid w:val="000813E3"/>
    <w:rsid w:val="0009268F"/>
    <w:rsid w:val="000D6476"/>
    <w:rsid w:val="000E5858"/>
    <w:rsid w:val="001038E8"/>
    <w:rsid w:val="001A04E9"/>
    <w:rsid w:val="001D6DF6"/>
    <w:rsid w:val="001F2EB5"/>
    <w:rsid w:val="0029158D"/>
    <w:rsid w:val="00296B74"/>
    <w:rsid w:val="00300F7B"/>
    <w:rsid w:val="003878B3"/>
    <w:rsid w:val="003A1B08"/>
    <w:rsid w:val="00430433"/>
    <w:rsid w:val="004B1667"/>
    <w:rsid w:val="00533D7D"/>
    <w:rsid w:val="0056557E"/>
    <w:rsid w:val="005813A5"/>
    <w:rsid w:val="005B001A"/>
    <w:rsid w:val="005C3710"/>
    <w:rsid w:val="005E67BA"/>
    <w:rsid w:val="006A6BFA"/>
    <w:rsid w:val="00712636"/>
    <w:rsid w:val="00746F0B"/>
    <w:rsid w:val="0075660C"/>
    <w:rsid w:val="007F0E54"/>
    <w:rsid w:val="008265EE"/>
    <w:rsid w:val="00853C7D"/>
    <w:rsid w:val="00890FC8"/>
    <w:rsid w:val="00931788"/>
    <w:rsid w:val="00983798"/>
    <w:rsid w:val="009A3CA4"/>
    <w:rsid w:val="00A05C00"/>
    <w:rsid w:val="00A70D28"/>
    <w:rsid w:val="00AC219A"/>
    <w:rsid w:val="00AC5DC2"/>
    <w:rsid w:val="00AD7307"/>
    <w:rsid w:val="00B2554A"/>
    <w:rsid w:val="00B307AD"/>
    <w:rsid w:val="00B7043E"/>
    <w:rsid w:val="00B71FAE"/>
    <w:rsid w:val="00BE4CCD"/>
    <w:rsid w:val="00C40531"/>
    <w:rsid w:val="00CA018B"/>
    <w:rsid w:val="00CF59AD"/>
    <w:rsid w:val="00D1616E"/>
    <w:rsid w:val="00D37E19"/>
    <w:rsid w:val="00D461AF"/>
    <w:rsid w:val="00F0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4254F"/>
  <w15:chartTrackingRefBased/>
  <w15:docId w15:val="{72876EDD-A91D-46EF-AA2C-4BDF7FCE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6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F7B"/>
    <w:pPr>
      <w:ind w:left="720"/>
      <w:contextualSpacing/>
    </w:pPr>
  </w:style>
  <w:style w:type="character" w:styleId="Hyperlink">
    <w:name w:val="Hyperlink"/>
    <w:basedOn w:val="DefaultParagraphFont"/>
    <w:uiPriority w:val="99"/>
    <w:unhideWhenUsed/>
    <w:rsid w:val="00B71FAE"/>
    <w:rPr>
      <w:color w:val="0563C1" w:themeColor="hyperlink"/>
      <w:u w:val="single"/>
    </w:rPr>
  </w:style>
  <w:style w:type="paragraph" w:styleId="Header">
    <w:name w:val="header"/>
    <w:basedOn w:val="Normal"/>
    <w:link w:val="HeaderChar"/>
    <w:uiPriority w:val="99"/>
    <w:unhideWhenUsed/>
    <w:rsid w:val="00C40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531"/>
  </w:style>
  <w:style w:type="paragraph" w:styleId="Footer">
    <w:name w:val="footer"/>
    <w:basedOn w:val="Normal"/>
    <w:link w:val="FooterChar"/>
    <w:uiPriority w:val="99"/>
    <w:unhideWhenUsed/>
    <w:rsid w:val="00C40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31"/>
  </w:style>
  <w:style w:type="character" w:styleId="FollowedHyperlink">
    <w:name w:val="FollowedHyperlink"/>
    <w:basedOn w:val="DefaultParagraphFont"/>
    <w:uiPriority w:val="99"/>
    <w:semiHidden/>
    <w:unhideWhenUsed/>
    <w:rsid w:val="000813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74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er.ilsharedlearning.org/Library/5591/PWR_Transitional_Mat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thalicious.com/" TargetMode="External"/><Relationship Id="rId12" Type="http://schemas.openxmlformats.org/officeDocument/2006/relationships/hyperlink" Target="https://www.map.mathshell.org/download.php?fileid=167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cher.desmo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ap.mathshell.org/" TargetMode="External"/><Relationship Id="rId4" Type="http://schemas.openxmlformats.org/officeDocument/2006/relationships/webSettings" Target="webSettings.xml"/><Relationship Id="rId9" Type="http://schemas.openxmlformats.org/officeDocument/2006/relationships/hyperlink" Target="https://www.sreb.org/math-read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Smith</dc:creator>
  <cp:keywords/>
  <dc:description/>
  <cp:lastModifiedBy>Smith's PC</cp:lastModifiedBy>
  <cp:revision>3</cp:revision>
  <dcterms:created xsi:type="dcterms:W3CDTF">2020-07-20T23:37:00Z</dcterms:created>
  <dcterms:modified xsi:type="dcterms:W3CDTF">2020-07-20T23:37:00Z</dcterms:modified>
</cp:coreProperties>
</file>